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黑体" w:eastAsia="仿宋_GB2312"/>
          <w:sz w:val="30"/>
          <w:szCs w:val="30"/>
          <w:lang w:val="en-US" w:eastAsia="zh-CN"/>
        </w:rPr>
      </w:pPr>
      <w:bookmarkStart w:id="0" w:name="_Hlk59110939"/>
      <w:bookmarkEnd w:id="0"/>
      <w:r>
        <w:rPr>
          <w:rFonts w:hint="eastAsia" w:ascii="仿宋_GB2312" w:hAnsi="黑体" w:eastAsia="仿宋_GB2312"/>
          <w:sz w:val="30"/>
          <w:szCs w:val="30"/>
          <w:lang w:val="en-US" w:eastAsia="zh-CN"/>
        </w:rPr>
        <w:t>附件</w:t>
      </w:r>
    </w:p>
    <w:p>
      <w:pPr>
        <w:pStyle w:val="18"/>
        <w:spacing w:before="0" w:after="0"/>
        <w:rPr>
          <w:rFonts w:ascii="Times New Roman"/>
        </w:rPr>
      </w:pPr>
      <w:r>
        <w:rPr>
          <w:rFonts w:ascii="Times New Roman"/>
        </w:rPr>
        <w:t>燃料电池汽车测试规范</w:t>
      </w:r>
    </w:p>
    <w:p>
      <w:pPr>
        <w:pStyle w:val="18"/>
        <w:spacing w:before="0" w:after="0"/>
        <w:rPr>
          <w:rFonts w:ascii="Times New Roman"/>
        </w:rPr>
      </w:pPr>
      <w:r>
        <w:rPr>
          <w:rFonts w:hint="eastAsia" w:ascii="Times New Roman"/>
        </w:rPr>
        <w:t>（</w:t>
      </w:r>
      <w:r>
        <w:rPr>
          <w:rFonts w:hint="eastAsia" w:ascii="Times New Roman"/>
          <w:lang w:eastAsia="zh-CN"/>
        </w:rPr>
        <w:t>试行版</w:t>
      </w:r>
      <w:r>
        <w:rPr>
          <w:rFonts w:hint="eastAsia" w:ascii="Times New Roman"/>
        </w:rPr>
        <w:t>）</w:t>
      </w:r>
    </w:p>
    <w:p>
      <w:pPr>
        <w:pStyle w:val="17"/>
        <w:rPr>
          <w:rFonts w:ascii="Times New Roman"/>
        </w:rPr>
      </w:pPr>
      <w:r>
        <w:rPr>
          <w:rFonts w:ascii="Times New Roman"/>
        </w:rPr>
        <w:t>通用要求</w:t>
      </w:r>
    </w:p>
    <w:p>
      <w:pPr>
        <w:pStyle w:val="12"/>
        <w:ind w:firstLine="420"/>
        <w:rPr>
          <w:rFonts w:ascii="Times New Roman"/>
        </w:rPr>
      </w:pPr>
      <w:r>
        <w:rPr>
          <w:rFonts w:ascii="Times New Roman"/>
        </w:rPr>
        <w:t>测试过程中采集数据的频率应不低于5Hz，数据应精确到小数点后2位，另有说明除外。</w:t>
      </w:r>
    </w:p>
    <w:p>
      <w:pPr>
        <w:pStyle w:val="17"/>
        <w:rPr>
          <w:rFonts w:ascii="Times New Roman"/>
        </w:rPr>
      </w:pPr>
      <w:r>
        <w:rPr>
          <w:rFonts w:ascii="Times New Roman"/>
        </w:rPr>
        <w:t>燃料电池系统额定功率测试方法</w:t>
      </w:r>
    </w:p>
    <w:p>
      <w:pPr>
        <w:pStyle w:val="12"/>
        <w:ind w:firstLine="420"/>
        <w:rPr>
          <w:rFonts w:ascii="Times New Roman"/>
        </w:rPr>
      </w:pPr>
      <w:r>
        <w:rPr>
          <w:rFonts w:ascii="Times New Roman"/>
        </w:rPr>
        <w:t>按照GB/T 24554-2009第7.4章节的规定进行燃料电池系统的额定功率试验。测试平台按照规定的加载方法对系统进行加载，加载到制造商申报的系统额定功率后持续稳定运行60min，</w:t>
      </w:r>
      <w:r>
        <w:rPr>
          <w:rFonts w:hint="eastAsia" w:ascii="Times New Roman"/>
        </w:rPr>
        <w:t>在此期间</w:t>
      </w:r>
      <w:r>
        <w:rPr>
          <w:rFonts w:ascii="Times New Roman"/>
        </w:rPr>
        <w:t>燃料电池系统应满足：</w:t>
      </w:r>
    </w:p>
    <w:p>
      <w:pPr>
        <w:pStyle w:val="12"/>
        <w:numPr>
          <w:ilvl w:val="0"/>
          <w:numId w:val="7"/>
        </w:numPr>
        <w:ind w:firstLineChars="0"/>
        <w:rPr>
          <w:rFonts w:ascii="Times New Roman"/>
        </w:rPr>
      </w:pPr>
      <w:r>
        <w:rPr>
          <w:rFonts w:ascii="Times New Roman"/>
        </w:rPr>
        <w:t>燃料电池系统的输出功率应始终处于60min平均功率的97%~103%之间；</w:t>
      </w:r>
    </w:p>
    <w:p>
      <w:pPr>
        <w:pStyle w:val="12"/>
        <w:numPr>
          <w:ilvl w:val="0"/>
          <w:numId w:val="7"/>
        </w:numPr>
        <w:ind w:firstLineChars="0"/>
        <w:rPr>
          <w:rFonts w:ascii="Times New Roman"/>
        </w:rPr>
      </w:pPr>
      <w:r>
        <w:rPr>
          <w:rFonts w:ascii="Times New Roman"/>
        </w:rPr>
        <w:t>燃料电池系统输出的60min平均功率应不低于申报值；</w:t>
      </w:r>
    </w:p>
    <w:p>
      <w:pPr>
        <w:pStyle w:val="12"/>
        <w:numPr>
          <w:ilvl w:val="0"/>
          <w:numId w:val="7"/>
        </w:numPr>
        <w:ind w:firstLineChars="0"/>
        <w:rPr>
          <w:rFonts w:ascii="Times New Roman"/>
        </w:rPr>
      </w:pPr>
      <w:r>
        <w:rPr>
          <w:rFonts w:ascii="Times New Roman"/>
        </w:rPr>
        <w:t>燃料电池系统持续稳定运行60min内，其单</w:t>
      </w:r>
      <w:r>
        <w:rPr>
          <w:rFonts w:hint="eastAsia" w:ascii="Times New Roman"/>
        </w:rPr>
        <w:t>电</w:t>
      </w:r>
      <w:r>
        <w:rPr>
          <w:rFonts w:ascii="Times New Roman"/>
        </w:rPr>
        <w:t>池平均电压应不低于0.6V，计算方式为60min燃料电池堆的平均电压</w:t>
      </w:r>
      <w:r>
        <w:rPr>
          <w:rFonts w:hint="eastAsia" w:ascii="Times New Roman"/>
        </w:rPr>
        <w:t>除</w:t>
      </w:r>
      <w:r>
        <w:rPr>
          <w:rFonts w:ascii="Times New Roman"/>
        </w:rPr>
        <w:t>单电池节数。</w:t>
      </w:r>
    </w:p>
    <w:p>
      <w:pPr>
        <w:pStyle w:val="12"/>
        <w:ind w:firstLine="420"/>
        <w:rPr>
          <w:rFonts w:ascii="Times New Roman"/>
        </w:rPr>
      </w:pPr>
      <w:r>
        <w:rPr>
          <w:rFonts w:ascii="Times New Roman"/>
        </w:rPr>
        <w:t>以燃料电池系统输出的60min平均功率作为燃料电池系统的额定功率</w:t>
      </w:r>
      <w:r>
        <w:rPr>
          <w:rFonts w:ascii="Times New Roman"/>
          <w:i/>
          <w:iCs/>
        </w:rPr>
        <w:t>P</w:t>
      </w:r>
      <w:r>
        <w:rPr>
          <w:rFonts w:ascii="Times New Roman"/>
          <w:i/>
          <w:iCs/>
          <w:vertAlign w:val="subscript"/>
        </w:rPr>
        <w:t>FCE</w:t>
      </w:r>
      <w:r>
        <w:rPr>
          <w:rFonts w:ascii="Times New Roman"/>
        </w:rPr>
        <w:t>，根据GB/T 24554-2009第8.3章节的规定计算电堆的功率</w:t>
      </w:r>
      <w:r>
        <w:rPr>
          <w:rFonts w:ascii="Times New Roman"/>
          <w:i/>
          <w:iCs/>
        </w:rPr>
        <w:t>P</w:t>
      </w:r>
      <w:r>
        <w:rPr>
          <w:rFonts w:ascii="Times New Roman"/>
          <w:i/>
          <w:iCs/>
          <w:vertAlign w:val="subscript"/>
        </w:rPr>
        <w:t>stack</w:t>
      </w:r>
      <w:r>
        <w:rPr>
          <w:rFonts w:ascii="Times New Roman"/>
        </w:rPr>
        <w:t>。</w:t>
      </w:r>
    </w:p>
    <w:p>
      <w:pPr>
        <w:pStyle w:val="24"/>
        <w:rPr>
          <w:rFonts w:ascii="Times New Roman"/>
        </w:rPr>
      </w:pPr>
      <w:r>
        <w:rPr>
          <w:rFonts w:ascii="Times New Roman"/>
        </w:rPr>
        <w:t>单电池节数采用双极板</w:t>
      </w:r>
      <w:r>
        <w:rPr>
          <w:rFonts w:hint="eastAsia" w:ascii="Times New Roman"/>
        </w:rPr>
        <w:t>（</w:t>
      </w:r>
      <w:r>
        <w:rPr>
          <w:rFonts w:hint="eastAsia"/>
        </w:rPr>
        <w:t>含两端单流场极板</w:t>
      </w:r>
      <w:r>
        <w:rPr>
          <w:rFonts w:hint="eastAsia" w:ascii="Times New Roman"/>
        </w:rPr>
        <w:t>）</w:t>
      </w:r>
      <w:r>
        <w:rPr>
          <w:rFonts w:ascii="Times New Roman"/>
        </w:rPr>
        <w:t>数减1的方式计算，包括空电池。</w:t>
      </w:r>
    </w:p>
    <w:p>
      <w:pPr>
        <w:pStyle w:val="24"/>
        <w:rPr>
          <w:rFonts w:ascii="Times New Roman"/>
        </w:rPr>
      </w:pPr>
      <w:r>
        <w:rPr>
          <w:rFonts w:ascii="Times New Roman"/>
        </w:rPr>
        <w:t>计算质量功率密度和体积功率密度时，燃料电池系统额定功率</w:t>
      </w:r>
      <w:r>
        <w:rPr>
          <w:rFonts w:hint="eastAsia" w:ascii="Times New Roman"/>
        </w:rPr>
        <w:t>测量值</w:t>
      </w:r>
      <w:r>
        <w:rPr>
          <w:rFonts w:ascii="Times New Roman"/>
        </w:rPr>
        <w:t>以kW为单位，保留三位小数；最终记录燃料电池系统额定功率</w:t>
      </w:r>
      <w:r>
        <w:rPr>
          <w:rFonts w:hint="eastAsia" w:ascii="Times New Roman"/>
        </w:rPr>
        <w:t>标称值</w:t>
      </w:r>
      <w:r>
        <w:rPr>
          <w:rFonts w:ascii="Times New Roman"/>
        </w:rPr>
        <w:t>时，以kW为单位，向下圆整到整数。</w:t>
      </w:r>
    </w:p>
    <w:p>
      <w:pPr>
        <w:pStyle w:val="17"/>
        <w:rPr>
          <w:rFonts w:ascii="Times New Roman"/>
        </w:rPr>
      </w:pPr>
      <w:r>
        <w:rPr>
          <w:rFonts w:ascii="Times New Roman"/>
        </w:rPr>
        <w:t>燃料电池系统质量功率密度测试方法</w:t>
      </w:r>
    </w:p>
    <w:p>
      <w:pPr>
        <w:pStyle w:val="13"/>
        <w:rPr>
          <w:rFonts w:ascii="Times New Roman"/>
        </w:rPr>
      </w:pPr>
      <w:r>
        <w:rPr>
          <w:rFonts w:ascii="Times New Roman"/>
        </w:rPr>
        <w:t>燃料电池系统质量</w:t>
      </w:r>
    </w:p>
    <w:p>
      <w:pPr>
        <w:pStyle w:val="12"/>
        <w:ind w:firstLine="420"/>
        <w:rPr>
          <w:rFonts w:ascii="Times New Roman"/>
        </w:rPr>
      </w:pPr>
      <w:r>
        <w:rPr>
          <w:rFonts w:ascii="Times New Roman"/>
        </w:rPr>
        <w:t>按照GB/T 24554-2009第7.11章节的规定测量燃料电池系统的质量m，测量时应按照尽可能保证被测系统完整性的原则，应确保被称重的燃料电池系统在连接氢气源和散热器的条件下即可正常工作，称重范围包括燃料电池系统边界内的所有部分，如图1所示，单位为kg，具体包括：</w:t>
      </w:r>
    </w:p>
    <w:p>
      <w:pPr>
        <w:pStyle w:val="15"/>
        <w:rPr>
          <w:rFonts w:ascii="Times New Roman"/>
        </w:rPr>
      </w:pPr>
      <w:r>
        <w:rPr>
          <w:rFonts w:hint="eastAsia" w:ascii="Times New Roman"/>
        </w:rPr>
        <w:t>燃料电池模块，包括燃料电池堆、集成外壳、轧带、固定螺杆、CVM等；</w:t>
      </w:r>
    </w:p>
    <w:p>
      <w:pPr>
        <w:pStyle w:val="15"/>
        <w:rPr>
          <w:rFonts w:ascii="Times New Roman"/>
        </w:rPr>
      </w:pPr>
      <w:r>
        <w:rPr>
          <w:rFonts w:ascii="Times New Roman"/>
        </w:rPr>
        <w:t>氢气供应系统</w:t>
      </w:r>
      <w:r>
        <w:rPr>
          <w:rFonts w:hint="eastAsia" w:ascii="Times New Roman"/>
        </w:rPr>
        <w:t>，</w:t>
      </w:r>
      <w:r>
        <w:rPr>
          <w:rFonts w:ascii="Times New Roman"/>
        </w:rPr>
        <w:t>包括氢气循环泵</w:t>
      </w:r>
      <w:r>
        <w:rPr>
          <w:rFonts w:hint="eastAsia" w:ascii="Times New Roman"/>
        </w:rPr>
        <w:t>和</w:t>
      </w:r>
      <w:r>
        <w:rPr>
          <w:rFonts w:ascii="Times New Roman"/>
        </w:rPr>
        <w:t>/</w:t>
      </w:r>
      <w:r>
        <w:rPr>
          <w:rFonts w:hint="eastAsia" w:ascii="Times New Roman"/>
        </w:rPr>
        <w:t>或</w:t>
      </w:r>
      <w:r>
        <w:rPr>
          <w:rFonts w:ascii="Times New Roman"/>
        </w:rPr>
        <w:t>氢气引射器等；</w:t>
      </w:r>
    </w:p>
    <w:p>
      <w:pPr>
        <w:pStyle w:val="15"/>
        <w:rPr>
          <w:rFonts w:ascii="Times New Roman"/>
        </w:rPr>
      </w:pPr>
      <w:r>
        <w:rPr>
          <w:rFonts w:ascii="Times New Roman"/>
        </w:rPr>
        <w:t>空气供应系统</w:t>
      </w:r>
      <w:r>
        <w:rPr>
          <w:rFonts w:hint="eastAsia" w:ascii="Times New Roman"/>
        </w:rPr>
        <w:t>，</w:t>
      </w:r>
      <w:r>
        <w:rPr>
          <w:rFonts w:ascii="Times New Roman"/>
        </w:rPr>
        <w:t>包括</w:t>
      </w:r>
      <w:r>
        <w:rPr>
          <w:rFonts w:hint="eastAsia" w:ascii="Times New Roman"/>
        </w:rPr>
        <w:t>空气滤清器、</w:t>
      </w:r>
      <w:r>
        <w:rPr>
          <w:rFonts w:ascii="Times New Roman"/>
        </w:rPr>
        <w:t>消音装置、</w:t>
      </w:r>
      <w:r>
        <w:rPr>
          <w:rFonts w:hint="eastAsia" w:ascii="Times New Roman"/>
        </w:rPr>
        <w:t>空气压缩机</w:t>
      </w:r>
      <w:r>
        <w:rPr>
          <w:rFonts w:ascii="Times New Roman"/>
        </w:rPr>
        <w:t>、中冷器、增湿器等；</w:t>
      </w:r>
    </w:p>
    <w:p>
      <w:pPr>
        <w:pStyle w:val="15"/>
        <w:rPr>
          <w:rFonts w:ascii="Times New Roman"/>
        </w:rPr>
      </w:pPr>
      <w:r>
        <w:rPr>
          <w:rFonts w:ascii="Times New Roman"/>
        </w:rPr>
        <w:t>水热管理系统</w:t>
      </w:r>
      <w:r>
        <w:rPr>
          <w:rFonts w:hint="eastAsia" w:ascii="Times New Roman"/>
        </w:rPr>
        <w:t>，</w:t>
      </w:r>
      <w:r>
        <w:rPr>
          <w:rFonts w:ascii="Times New Roman"/>
        </w:rPr>
        <w:t>包括</w:t>
      </w:r>
      <w:r>
        <w:rPr>
          <w:rFonts w:hint="eastAsia" w:ascii="Times New Roman"/>
        </w:rPr>
        <w:t>冷却</w:t>
      </w:r>
      <w:r>
        <w:rPr>
          <w:rFonts w:ascii="Times New Roman"/>
        </w:rPr>
        <w:t>泵、去离子器</w:t>
      </w:r>
      <w:r>
        <w:rPr>
          <w:rFonts w:hint="eastAsia" w:ascii="Times New Roman"/>
        </w:rPr>
        <w:t>、PTC</w:t>
      </w:r>
      <w:r>
        <w:rPr>
          <w:rFonts w:ascii="Times New Roman"/>
        </w:rPr>
        <w:t>等，不包括</w:t>
      </w:r>
      <w:r>
        <w:rPr>
          <w:rFonts w:hint="eastAsia" w:ascii="Times New Roman"/>
        </w:rPr>
        <w:t>辅助散热组件、</w:t>
      </w:r>
      <w:r>
        <w:rPr>
          <w:rFonts w:ascii="Times New Roman"/>
        </w:rPr>
        <w:t>散热器总成、水箱、冷却液及加湿用水；</w:t>
      </w:r>
    </w:p>
    <w:p>
      <w:pPr>
        <w:pStyle w:val="15"/>
        <w:rPr>
          <w:rFonts w:ascii="Times New Roman"/>
        </w:rPr>
      </w:pPr>
      <w:r>
        <w:rPr>
          <w:rFonts w:ascii="Times New Roman"/>
        </w:rPr>
        <w:t>控制系统</w:t>
      </w:r>
      <w:r>
        <w:rPr>
          <w:rFonts w:hint="eastAsia" w:ascii="Times New Roman"/>
        </w:rPr>
        <w:t>，</w:t>
      </w:r>
      <w:r>
        <w:rPr>
          <w:rFonts w:ascii="Times New Roman"/>
        </w:rPr>
        <w:t>包括控制器、传感器等；</w:t>
      </w:r>
    </w:p>
    <w:p>
      <w:pPr>
        <w:pStyle w:val="15"/>
        <w:rPr>
          <w:rFonts w:ascii="Times New Roman"/>
        </w:rPr>
      </w:pPr>
      <w:r>
        <w:rPr>
          <w:rFonts w:ascii="Times New Roman"/>
        </w:rPr>
        <w:t>组成燃料电池系统所必需的阀件、管路、线束、接头和框架等。</w:t>
      </w:r>
    </w:p>
    <w:p>
      <w:pPr>
        <w:pStyle w:val="12"/>
        <w:ind w:firstLine="0" w:firstLineChars="0"/>
        <w:jc w:val="center"/>
        <w:rPr>
          <w:rFonts w:ascii="Times New Roman"/>
        </w:rPr>
      </w:pPr>
      <w:r>
        <w:rPr>
          <w:rFonts w:ascii="Times New Roman"/>
        </w:rPr>
        <w:object>
          <v:shape id="_x0000_i1025" o:spt="75" type="#_x0000_t75" style="height:204.75pt;width:466.5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pStyle w:val="22"/>
        <w:rPr>
          <w:rFonts w:ascii="Times New Roman"/>
        </w:rPr>
      </w:pPr>
      <w:r>
        <w:rPr>
          <w:rFonts w:ascii="Times New Roman"/>
        </w:rPr>
        <w:t>燃料电池系统边界示意图</w:t>
      </w:r>
    </w:p>
    <w:p>
      <w:pPr>
        <w:pStyle w:val="13"/>
        <w:rPr>
          <w:rFonts w:ascii="Times New Roman"/>
          <w:i/>
          <w:iCs/>
        </w:rPr>
      </w:pPr>
      <w:r>
        <w:rPr>
          <w:rFonts w:ascii="Times New Roman"/>
        </w:rPr>
        <w:t>燃料电池系统质量功率密度</w:t>
      </w:r>
      <w:r>
        <w:rPr>
          <w:rFonts w:ascii="Times New Roman"/>
          <w:i/>
          <w:iCs/>
        </w:rPr>
        <w:t>MSP</w:t>
      </w:r>
      <w:r>
        <w:rPr>
          <w:rFonts w:ascii="Times New Roman"/>
          <w:i/>
          <w:iCs/>
          <w:vertAlign w:val="subscript"/>
        </w:rPr>
        <w:t>FCE</w:t>
      </w:r>
    </w:p>
    <w:p>
      <w:pPr>
        <w:pStyle w:val="12"/>
        <w:ind w:firstLine="420"/>
        <w:rPr>
          <w:rFonts w:ascii="Times New Roman"/>
        </w:rPr>
      </w:pPr>
      <w:r>
        <w:rPr>
          <w:rFonts w:ascii="Times New Roman"/>
        </w:rPr>
        <w:t>燃料电池系统质量功率密度</w:t>
      </w:r>
      <w:r>
        <w:rPr>
          <w:rFonts w:ascii="Times New Roman" w:eastAsia="黑体"/>
          <w:i/>
          <w:iCs/>
          <w:szCs w:val="21"/>
        </w:rPr>
        <w:t>M</w:t>
      </w:r>
      <w:r>
        <w:rPr>
          <w:rFonts w:hint="eastAsia" w:ascii="Times New Roman" w:eastAsia="黑体"/>
          <w:i/>
          <w:iCs/>
          <w:szCs w:val="21"/>
        </w:rPr>
        <w:t>S</w:t>
      </w:r>
      <w:r>
        <w:rPr>
          <w:rFonts w:ascii="Times New Roman" w:eastAsia="黑体"/>
          <w:i/>
          <w:iCs/>
          <w:szCs w:val="21"/>
        </w:rPr>
        <w:t>P</w:t>
      </w:r>
      <w:r>
        <w:rPr>
          <w:rFonts w:ascii="Times New Roman" w:eastAsia="黑体"/>
          <w:i/>
          <w:iCs/>
          <w:szCs w:val="21"/>
          <w:vertAlign w:val="subscript"/>
        </w:rPr>
        <w:t>FCE</w:t>
      </w:r>
      <w:r>
        <w:rPr>
          <w:rFonts w:ascii="Times New Roman"/>
        </w:rPr>
        <w:t>按照公式（1）进行计算，单位为W/kg。</w:t>
      </w:r>
    </w:p>
    <w:p>
      <w:pPr>
        <w:pStyle w:val="23"/>
        <w:rPr>
          <w:rFonts w:ascii="Times New Roman" w:hAnsi="Times New Roman" w:cs="Times New Roman"/>
        </w:rPr>
      </w:pPr>
      <w:r>
        <w:rPr>
          <w:rFonts w:ascii="Times New Roman" w:hAnsi="Times New Roman" w:cs="Times New Roman"/>
          <w:iCs/>
        </w:rPr>
        <w:tab/>
      </w:r>
      <m:oMath>
        <m:sSub>
          <m:sSubPr>
            <m:ctrlPr>
              <w:rPr>
                <w:rFonts w:hint="default" w:ascii="Cambria Math" w:hAnsi="Cambria Math" w:cs="Times New Roman"/>
                <w:i/>
                <w:iCs/>
              </w:rPr>
            </m:ctrlPr>
          </m:sSubPr>
          <m:e>
            <m:r>
              <w:rPr>
                <w:rFonts w:hint="default" w:ascii="Cambria Math" w:hAnsi="Cambria Math" w:cs="Times New Roman"/>
              </w:rPr>
              <m:t>M</m:t>
            </m:r>
            <m:r>
              <w:rPr>
                <w:rFonts w:hint="eastAsia" w:ascii="Cambria Math" w:hAnsi="Cambria Math" w:cs="Times New Roman"/>
              </w:rPr>
              <m:t>S</m:t>
            </m:r>
            <m:r>
              <w:rPr>
                <w:rFonts w:hint="default" w:ascii="Cambria Math" w:hAnsi="Cambria Math" w:cs="Times New Roman"/>
              </w:rPr>
              <m:t>P</m:t>
            </m:r>
            <m:ctrlPr>
              <w:rPr>
                <w:rFonts w:hint="default" w:ascii="Cambria Math" w:hAnsi="Cambria Math" w:cs="Times New Roman"/>
                <w:i/>
                <w:iCs/>
              </w:rPr>
            </m:ctrlPr>
          </m:e>
          <m:sub>
            <m:r>
              <w:rPr>
                <w:rFonts w:hint="default" w:ascii="Cambria Math" w:hAnsi="Cambria Math" w:cs="Times New Roman"/>
              </w:rPr>
              <m:t>FCE</m:t>
            </m:r>
            <m:ctrlPr>
              <w:rPr>
                <w:rFonts w:hint="default" w:ascii="Cambria Math" w:hAnsi="Cambria Math" w:cs="Times New Roman"/>
                <w:i/>
                <w:iCs/>
              </w:rPr>
            </m:ctrlPr>
          </m:sub>
        </m:sSub>
        <m:r>
          <m:rPr>
            <m:sty m:val="p"/>
          </m:rPr>
          <w:rPr>
            <w:rFonts w:hint="default" w:ascii="Cambria Math" w:hAnsi="Cambria Math" w:cs="Times New Roman"/>
          </w:rPr>
          <m:t>=1000</m:t>
        </m:r>
        <m:f>
          <m:fPr>
            <m:type m:val="lin"/>
            <m:ctrlPr>
              <w:rPr>
                <w:rFonts w:hint="default" w:ascii="Cambria Math" w:hAnsi="Cambria Math" w:cs="Times New Roman"/>
                <w:i/>
              </w:rPr>
            </m:ctrlPr>
          </m:fPr>
          <m:num>
            <m:r>
              <w:rPr>
                <w:rFonts w:hint="default" w:ascii="Cambria Math" w:hAnsi="Cambria Math" w:cs="Times New Roman"/>
              </w:rPr>
              <m:t>×</m:t>
            </m:r>
            <m:sSub>
              <m:sSubPr>
                <m:ctrlPr>
                  <w:rPr>
                    <w:rFonts w:hint="default" w:ascii="Cambria Math" w:hAnsi="Cambria Math" w:cs="Times New Roman"/>
                    <w:i/>
                  </w:rPr>
                </m:ctrlPr>
              </m:sSubPr>
              <m:e>
                <m:r>
                  <w:rPr>
                    <w:rFonts w:hint="default" w:ascii="Cambria Math" w:hAnsi="Cambria Math" w:cs="Times New Roman"/>
                  </w:rPr>
                  <m:t>P</m:t>
                </m:r>
                <m:ctrlPr>
                  <w:rPr>
                    <w:rFonts w:hint="default" w:ascii="Cambria Math" w:hAnsi="Cambria Math" w:cs="Times New Roman"/>
                    <w:i/>
                  </w:rPr>
                </m:ctrlPr>
              </m:e>
              <m:sub>
                <m:r>
                  <w:rPr>
                    <w:rFonts w:hint="default" w:ascii="Cambria Math" w:hAnsi="Cambria Math" w:cs="Times New Roman"/>
                  </w:rPr>
                  <m:t>FCE</m:t>
                </m:r>
                <m:ctrlPr>
                  <w:rPr>
                    <w:rFonts w:hint="default" w:ascii="Cambria Math" w:hAnsi="Cambria Math" w:cs="Times New Roman"/>
                    <w:i/>
                  </w:rPr>
                </m:ctrlPr>
              </m:sub>
            </m:sSub>
            <m:ctrlPr>
              <w:rPr>
                <w:rFonts w:hint="default" w:ascii="Cambria Math" w:hAnsi="Cambria Math" w:cs="Times New Roman"/>
                <w:i/>
              </w:rPr>
            </m:ctrlPr>
          </m:num>
          <m:den>
            <m:r>
              <w:rPr>
                <w:rFonts w:hint="default" w:ascii="Cambria Math" w:hAnsi="Cambria Math" w:cs="Times New Roman"/>
              </w:rPr>
              <m:t>m</m:t>
            </m:r>
            <m:ctrlPr>
              <w:rPr>
                <w:rFonts w:hint="default" w:ascii="Cambria Math" w:hAnsi="Cambria Math" w:cs="Times New Roman"/>
                <w:i/>
              </w:rPr>
            </m:ctrlPr>
          </m:den>
        </m:f>
      </m:oMath>
      <w:r>
        <w:rPr>
          <w:rFonts w:ascii="Times New Roman" w:hAnsi="Times New Roman" w:cs="Times New Roman"/>
        </w:rPr>
        <w:tab/>
      </w:r>
      <w:r>
        <w:rPr>
          <w:rFonts w:ascii="Times New Roman" w:hAnsi="Times New Roman" w:cs="Times New Roman"/>
        </w:rPr>
        <w:t>(1)</w:t>
      </w:r>
    </w:p>
    <w:p>
      <w:pPr>
        <w:pStyle w:val="17"/>
        <w:rPr>
          <w:rFonts w:ascii="Times New Roman"/>
        </w:rPr>
      </w:pPr>
      <w:r>
        <w:rPr>
          <w:rFonts w:ascii="Times New Roman"/>
        </w:rPr>
        <w:t>燃料电池堆体积功率密度测试方法</w:t>
      </w:r>
    </w:p>
    <w:p>
      <w:pPr>
        <w:pStyle w:val="13"/>
        <w:rPr>
          <w:rFonts w:ascii="Times New Roman"/>
        </w:rPr>
      </w:pPr>
      <w:r>
        <w:rPr>
          <w:rFonts w:ascii="Times New Roman"/>
        </w:rPr>
        <w:t>燃料电池堆体积</w:t>
      </w:r>
      <w:r>
        <w:rPr>
          <w:rFonts w:ascii="Times New Roman"/>
          <w:i/>
          <w:iCs/>
        </w:rPr>
        <w:t>V</w:t>
      </w:r>
      <w:r>
        <w:rPr>
          <w:rFonts w:ascii="Times New Roman"/>
          <w:i/>
          <w:iCs/>
          <w:vertAlign w:val="subscript"/>
        </w:rPr>
        <w:t>Stack</w:t>
      </w:r>
    </w:p>
    <w:p>
      <w:pPr>
        <w:pStyle w:val="12"/>
        <w:ind w:firstLine="420"/>
        <w:rPr>
          <w:rFonts w:ascii="Times New Roman"/>
        </w:rPr>
      </w:pPr>
      <w:r>
        <w:rPr>
          <w:rFonts w:ascii="Times New Roman"/>
        </w:rPr>
        <w:t>完成燃料电池系统性能试验后，制造商应对被测的燃料电池系统进行必要的拆解，以便对燃料电池堆的体积进行测量。燃料电池堆体积测量示意图如图2所示，根据公式（2）计算，单位为L。</w:t>
      </w:r>
    </w:p>
    <w:p>
      <w:pPr>
        <w:pStyle w:val="23"/>
        <w:rPr>
          <w:rFonts w:ascii="Times New Roman" w:hAnsi="Times New Roman" w:cs="Times New Roman"/>
        </w:rPr>
      </w:pPr>
      <w:r>
        <w:rPr>
          <w:rFonts w:ascii="Times New Roman" w:hAnsi="Times New Roman" w:cs="Times New Roman"/>
          <w:b/>
          <w:bCs/>
          <w:vertAlign w:val="subscript"/>
        </w:rPr>
        <w:tab/>
      </w:r>
      <m:oMath>
        <m:sSub>
          <m:sSubPr>
            <m:ctrlPr>
              <w:rPr>
                <w:rFonts w:hint="default" w:ascii="Cambria Math" w:hAnsi="Cambria Math" w:cs="Times New Roman"/>
                <w:sz w:val="21"/>
                <w:vertAlign w:val="subscript"/>
              </w:rPr>
            </m:ctrlPr>
          </m:sSubPr>
          <m:e>
            <m:r>
              <w:rPr>
                <w:rFonts w:hint="default" w:ascii="Cambria Math" w:hAnsi="Cambria Math" w:cs="Times New Roman"/>
                <w:vertAlign w:val="subscript"/>
              </w:rPr>
              <m:t>V</m:t>
            </m:r>
            <m:ctrlPr>
              <w:rPr>
                <w:rFonts w:hint="default" w:ascii="Cambria Math" w:hAnsi="Cambria Math" w:cs="Times New Roman"/>
                <w:sz w:val="21"/>
                <w:vertAlign w:val="subscript"/>
              </w:rPr>
            </m:ctrlPr>
          </m:e>
          <m:sub>
            <m:r>
              <w:rPr>
                <w:rFonts w:hint="default" w:ascii="Cambria Math" w:hAnsi="Cambria Math" w:cs="Times New Roman"/>
                <w:vertAlign w:val="subscript"/>
              </w:rPr>
              <m:t>stack</m:t>
            </m:r>
            <m:ctrlPr>
              <w:rPr>
                <w:rFonts w:hint="default" w:ascii="Cambria Math" w:hAnsi="Cambria Math" w:cs="Times New Roman"/>
                <w:sz w:val="21"/>
                <w:vertAlign w:val="subscript"/>
              </w:rPr>
            </m:ctrlPr>
          </m:sub>
        </m:sSub>
        <m:r>
          <m:rPr>
            <m:sty m:val="p"/>
          </m:rPr>
          <w:rPr>
            <w:rFonts w:hint="default" w:ascii="Cambria Math" w:hAnsi="Cambria Math" w:cs="Times New Roman"/>
          </w:rPr>
          <m:t>=</m:t>
        </m:r>
        <m:r>
          <w:rPr>
            <w:rFonts w:hint="default" w:ascii="Cambria Math" w:hAnsi="Cambria Math" w:cs="Times New Roman"/>
          </w:rPr>
          <m:t>w×l×</m:t>
        </m:r>
        <m:r>
          <w:rPr>
            <w:rFonts w:hint="default" w:ascii="Cambria Math" w:hAnsi="Cambria Math" w:eastAsia="MS Mincho" w:cs="Times New Roman"/>
          </w:rPr>
          <m:t>ℎ</m:t>
        </m:r>
        <m:r>
          <w:rPr>
            <w:rFonts w:hint="default" w:ascii="Cambria Math" w:hAnsi="Cambria Math" w:eastAsia="宋体" w:cs="Times New Roman"/>
          </w:rPr>
          <m:t>/</m:t>
        </m:r>
        <m:sSup>
          <m:sSupPr>
            <m:ctrlPr>
              <w:rPr>
                <w:rFonts w:hint="default" w:ascii="Cambria Math" w:hAnsi="Cambria Math" w:eastAsia="宋体" w:cs="Times New Roman"/>
                <w:i/>
              </w:rPr>
            </m:ctrlPr>
          </m:sSupPr>
          <m:e>
            <m:r>
              <w:rPr>
                <w:rFonts w:hint="default" w:ascii="Cambria Math" w:hAnsi="Cambria Math" w:eastAsia="宋体" w:cs="Times New Roman"/>
              </w:rPr>
              <m:t>10</m:t>
            </m:r>
            <m:ctrlPr>
              <w:rPr>
                <w:rFonts w:hint="default" w:ascii="Cambria Math" w:hAnsi="Cambria Math" w:eastAsia="宋体" w:cs="Times New Roman"/>
                <w:i/>
              </w:rPr>
            </m:ctrlPr>
          </m:e>
          <m:sup>
            <m:r>
              <w:rPr>
                <w:rFonts w:hint="default" w:ascii="Cambria Math" w:hAnsi="Cambria Math" w:eastAsia="宋体" w:cs="Times New Roman"/>
              </w:rPr>
              <m:t>6</m:t>
            </m:r>
            <m:ctrlPr>
              <w:rPr>
                <w:rFonts w:hint="default" w:ascii="Cambria Math" w:hAnsi="Cambria Math" w:eastAsia="宋体" w:cs="Times New Roman"/>
                <w:i/>
              </w:rPr>
            </m:ctrlPr>
          </m:sup>
        </m:sSup>
      </m:oMath>
      <w:r>
        <w:rPr>
          <w:rFonts w:ascii="Times New Roman" w:hAnsi="Times New Roman" w:cs="Times New Roman"/>
        </w:rPr>
        <w:tab/>
      </w:r>
      <w:r>
        <w:rPr>
          <w:rFonts w:ascii="Times New Roman" w:hAnsi="Times New Roman" w:cs="Times New Roman"/>
        </w:rPr>
        <w:t>(2)</w:t>
      </w:r>
    </w:p>
    <w:p>
      <w:pPr>
        <w:pStyle w:val="12"/>
        <w:ind w:firstLine="420"/>
        <w:rPr>
          <w:rFonts w:ascii="Times New Roman"/>
        </w:rPr>
      </w:pPr>
      <w:r>
        <w:rPr>
          <w:rFonts w:ascii="Times New Roman"/>
        </w:rPr>
        <w:t>式中：</w:t>
      </w:r>
    </w:p>
    <w:p>
      <w:pPr>
        <w:pStyle w:val="12"/>
        <w:ind w:firstLine="420"/>
        <w:rPr>
          <w:rFonts w:ascii="Times New Roman"/>
        </w:rPr>
      </w:pPr>
      <w:r>
        <w:rPr>
          <w:rFonts w:ascii="Times New Roman"/>
          <w:i/>
          <w:iCs/>
        </w:rPr>
        <w:t>w</w:t>
      </w:r>
      <w:r>
        <w:rPr>
          <w:rFonts w:ascii="Times New Roman"/>
        </w:rPr>
        <w:t>——两个端板之间的宽度（mm）；</w:t>
      </w:r>
    </w:p>
    <w:p>
      <w:pPr>
        <w:pStyle w:val="12"/>
        <w:ind w:firstLine="420"/>
        <w:rPr>
          <w:rFonts w:ascii="Times New Roman"/>
          <w:i/>
          <w:iCs/>
        </w:rPr>
      </w:pPr>
      <w:r>
        <w:rPr>
          <w:rFonts w:ascii="Times New Roman"/>
          <w:i/>
          <w:iCs/>
        </w:rPr>
        <w:t>l</w:t>
      </w:r>
      <w:r>
        <w:rPr>
          <w:rFonts w:ascii="Times New Roman"/>
        </w:rPr>
        <w:t>——双极板外廓长度（mm）；</w:t>
      </w:r>
    </w:p>
    <w:p>
      <w:pPr>
        <w:pStyle w:val="12"/>
        <w:ind w:firstLine="420"/>
        <w:rPr>
          <w:rFonts w:ascii="Times New Roman"/>
        </w:rPr>
      </w:pPr>
      <w:r>
        <w:rPr>
          <w:rFonts w:hint="eastAsia" w:ascii="Times New Roman"/>
          <w:i/>
          <w:iCs/>
        </w:rPr>
        <w:t>h</w:t>
      </w:r>
      <w:r>
        <w:rPr>
          <w:rFonts w:ascii="Times New Roman"/>
        </w:rPr>
        <w:t>——双极板外廓</w:t>
      </w:r>
      <w:r>
        <w:rPr>
          <w:rFonts w:hint="eastAsia" w:ascii="Times New Roman"/>
        </w:rPr>
        <w:t>高</w:t>
      </w:r>
      <w:r>
        <w:rPr>
          <w:rFonts w:ascii="Times New Roman"/>
        </w:rPr>
        <w:t>度（mm）。</w:t>
      </w:r>
    </w:p>
    <w:p>
      <w:pPr>
        <w:pStyle w:val="24"/>
        <w:numPr>
          <w:ilvl w:val="0"/>
          <w:numId w:val="8"/>
        </w:numPr>
        <w:ind w:left="798"/>
        <w:rPr>
          <w:rFonts w:ascii="Times New Roman"/>
        </w:rPr>
      </w:pPr>
      <w:r>
        <w:rPr>
          <w:rFonts w:ascii="Times New Roman"/>
        </w:rPr>
        <w:t>宽度</w:t>
      </w:r>
      <w:r>
        <w:rPr>
          <w:rFonts w:hint="eastAsia" w:ascii="Times New Roman"/>
          <w:i/>
          <w:iCs/>
          <w:sz w:val="21"/>
          <w:szCs w:val="20"/>
        </w:rPr>
        <w:t>w</w:t>
      </w:r>
      <w:r>
        <w:rPr>
          <w:rFonts w:ascii="Times New Roman"/>
        </w:rPr>
        <w:t>不包括端板、绝缘板、集流板，但应包括所有极板。</w:t>
      </w:r>
    </w:p>
    <w:p>
      <w:pPr>
        <w:pStyle w:val="24"/>
        <w:rPr>
          <w:rFonts w:ascii="Times New Roman"/>
        </w:rPr>
      </w:pPr>
      <w:r>
        <w:rPr>
          <w:rFonts w:ascii="Times New Roman"/>
        </w:rPr>
        <w:drawing>
          <wp:anchor distT="0" distB="0" distL="114300" distR="114300" simplePos="0" relativeHeight="251658240" behindDoc="0" locked="0" layoutInCell="1" allowOverlap="1">
            <wp:simplePos x="0" y="0"/>
            <wp:positionH relativeFrom="column">
              <wp:posOffset>796290</wp:posOffset>
            </wp:positionH>
            <wp:positionV relativeFrom="paragraph">
              <wp:posOffset>334010</wp:posOffset>
            </wp:positionV>
            <wp:extent cx="3726180" cy="2054860"/>
            <wp:effectExtent l="0" t="0" r="7620" b="25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726180" cy="2054860"/>
                    </a:xfrm>
                    <a:prstGeom prst="rect">
                      <a:avLst/>
                    </a:prstGeom>
                    <a:noFill/>
                    <a:ln>
                      <a:noFill/>
                    </a:ln>
                  </pic:spPr>
                </pic:pic>
              </a:graphicData>
            </a:graphic>
          </wp:anchor>
        </w:drawing>
      </w:r>
      <w:r>
        <w:rPr>
          <w:rFonts w:ascii="Times New Roman"/>
        </w:rPr>
        <w:t>拆解过程中不应拆解端板，防止因预紧力改变影响测量结果。</w:t>
      </w:r>
    </w:p>
    <w:p>
      <w:pPr>
        <w:pStyle w:val="22"/>
        <w:rPr>
          <w:rFonts w:ascii="Times New Roman"/>
        </w:rPr>
      </w:pPr>
      <w:r>
        <w:rPr>
          <w:rFonts w:ascii="Times New Roman"/>
        </w:rPr>
        <w:t>燃料电池堆体积测量示意图</w:t>
      </w:r>
    </w:p>
    <w:p>
      <w:pPr>
        <w:pStyle w:val="14"/>
        <w:ind w:firstLine="420"/>
        <w:rPr>
          <w:rFonts w:ascii="Times New Roman" w:hAnsi="Times New Roman" w:cs="Times New Roman"/>
        </w:rPr>
      </w:pPr>
      <w:r>
        <w:rPr>
          <w:rFonts w:ascii="Times New Roman" w:hAnsi="Times New Roman" w:cs="Times New Roman"/>
        </w:rPr>
        <w:t>双极板长度应测量燃料电池堆双极板长度方向的最远外廓尺寸，单位为mm；双极板高度应测量燃料电池堆双极板高度方向的最远外廓尺寸，单位为mm，图2枚举了可能的测量场景，其他测量场景应参考执行。</w:t>
      </w:r>
    </w:p>
    <w:p>
      <w:pPr>
        <w:pStyle w:val="14"/>
        <w:ind w:firstLine="420"/>
        <w:rPr>
          <w:rFonts w:ascii="Times New Roman" w:hAnsi="Times New Roman" w:cs="Times New Roman"/>
        </w:rPr>
      </w:pPr>
      <w:r>
        <w:rPr>
          <w:rFonts w:ascii="Times New Roman" w:hAnsi="Times New Roman" w:cs="Times New Roman"/>
        </w:rPr>
        <w:t>其中，对于连续空白区域面积大于等于双极板外廓面积（</w:t>
      </w:r>
      <w:r>
        <w:rPr>
          <w:rFonts w:ascii="Times New Roman" w:hAnsi="Times New Roman" w:cs="Times New Roman"/>
          <w:i/>
          <w:iCs/>
        </w:rPr>
        <w:t>l*h</w:t>
      </w:r>
      <w:r>
        <w:rPr>
          <w:rFonts w:ascii="Times New Roman" w:hAnsi="Times New Roman" w:cs="Times New Roman"/>
        </w:rPr>
        <w:t>）4%的部分，计算双极板面积时应去除该部分面积(氢气、空气、水路通道除外)。连续空白区域面积的计算，应由第三方检测机构基于被测试对象的双极板实物进行测量计算。</w:t>
      </w:r>
    </w:p>
    <w:tbl>
      <w:tblPr>
        <w:tblStyle w:val="11"/>
        <w:tblW w:w="812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5"/>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9" w:hRule="atLeast"/>
          <w:jc w:val="center"/>
        </w:trPr>
        <w:tc>
          <w:tcPr>
            <w:tcW w:w="7905" w:type="dxa"/>
            <w:noWrap w:val="0"/>
            <w:vAlign w:val="top"/>
          </w:tcPr>
          <w:tbl>
            <w:tblPr>
              <w:tblStyle w:val="11"/>
              <w:tblW w:w="768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5"/>
              <w:gridCol w:w="3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3" w:hRule="atLeast"/>
                <w:jc w:val="center"/>
              </w:trPr>
              <w:tc>
                <w:tcPr>
                  <w:tcW w:w="3695" w:type="dxa"/>
                  <w:noWrap w:val="0"/>
                  <w:vAlign w:val="top"/>
                </w:tcPr>
                <w:p>
                  <w:pPr>
                    <w:pStyle w:val="14"/>
                    <w:ind w:firstLine="0" w:firstLineChars="0"/>
                    <w:jc w:val="center"/>
                    <w:rPr>
                      <w:rFonts w:ascii="Times New Roman" w:hAnsi="Times New Roman" w:cs="Times New Roman"/>
                    </w:rPr>
                  </w:pPr>
                  <w:r>
                    <w:rPr>
                      <w:rFonts w:ascii="Times New Roman" w:hAnsi="Times New Roman" w:cs="Times New Roman"/>
                    </w:rPr>
                    <w:object>
                      <v:shape id="_x0000_i1026" o:spt="75" type="#_x0000_t75" style="height:106.55pt;width:174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pPr>
                    <w:pStyle w:val="14"/>
                    <w:ind w:firstLine="0" w:firstLineChars="0"/>
                    <w:jc w:val="center"/>
                    <w:rPr>
                      <w:rFonts w:ascii="Times New Roman" w:hAnsi="Times New Roman" w:cs="Times New Roman"/>
                    </w:rPr>
                  </w:pPr>
                  <w:r>
                    <w:rPr>
                      <w:rFonts w:ascii="Times New Roman" w:hAnsi="Times New Roman" w:cs="Times New Roman"/>
                    </w:rPr>
                    <w:t>图例1</w:t>
                  </w:r>
                </w:p>
              </w:tc>
              <w:tc>
                <w:tcPr>
                  <w:tcW w:w="3994" w:type="dxa"/>
                  <w:noWrap w:val="0"/>
                  <w:vAlign w:val="top"/>
                </w:tcPr>
                <w:p>
                  <w:pPr>
                    <w:pStyle w:val="14"/>
                    <w:ind w:firstLine="0" w:firstLineChars="0"/>
                    <w:jc w:val="center"/>
                    <w:rPr>
                      <w:rFonts w:ascii="Times New Roman" w:hAnsi="Times New Roman" w:cs="Times New Roman"/>
                    </w:rPr>
                  </w:pPr>
                  <w:r>
                    <w:rPr>
                      <w:rFonts w:ascii="Times New Roman" w:hAnsi="Times New Roman" w:cs="Times New Roman"/>
                    </w:rPr>
                    <w:object>
                      <v:shape id="_x0000_i1027" o:spt="75" type="#_x0000_t75" style="height:97.4pt;width:148.55pt;" o:ole="t" filled="f" o:preferrelative="t" stroked="f" coordsize="21600,21600">
                        <v:path/>
                        <v:fill on="f" focussize="0,0"/>
                        <v:stroke on="f" joinstyle="miter"/>
                        <v:imagedata r:id="rId10" o:title=""/>
                        <o:lock v:ext="edit" aspectratio="f"/>
                        <w10:wrap type="none"/>
                        <w10:anchorlock/>
                      </v:shape>
                      <o:OLEObject Type="Embed" ProgID="Visio.Drawing.15" ShapeID="_x0000_i1027" DrawAspect="Content" ObjectID="_1468075727" r:id="rId9">
                        <o:LockedField>false</o:LockedField>
                      </o:OLEObject>
                    </w:object>
                  </w:r>
                </w:p>
                <w:p>
                  <w:pPr>
                    <w:pStyle w:val="14"/>
                    <w:ind w:firstLine="0" w:firstLineChars="0"/>
                    <w:jc w:val="center"/>
                    <w:rPr>
                      <w:rFonts w:ascii="Times New Roman" w:hAnsi="Times New Roman" w:cs="Times New Roman"/>
                    </w:rPr>
                  </w:pPr>
                  <w:r>
                    <w:rPr>
                      <w:rFonts w:ascii="Times New Roman" w:hAnsi="Times New Roman" w:cs="Times New Roman"/>
                    </w:rPr>
                    <w:t>图例2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8" w:hRule="atLeast"/>
                <w:jc w:val="center"/>
              </w:trPr>
              <w:tc>
                <w:tcPr>
                  <w:tcW w:w="3695" w:type="dxa"/>
                  <w:noWrap w:val="0"/>
                  <w:vAlign w:val="top"/>
                </w:tcPr>
                <w:p>
                  <w:pPr>
                    <w:pStyle w:val="14"/>
                    <w:ind w:firstLine="0" w:firstLineChars="0"/>
                    <w:jc w:val="center"/>
                    <w:rPr>
                      <w:rFonts w:ascii="Times New Roman" w:hAnsi="Times New Roman" w:cs="Times New Roman"/>
                    </w:rPr>
                  </w:pPr>
                  <w:r>
                    <w:rPr>
                      <w:rFonts w:ascii="Times New Roman" w:hAnsi="Times New Roman" w:cs="Times New Roman"/>
                    </w:rPr>
                    <w:object>
                      <v:shape id="_x0000_i1028" o:spt="75" type="#_x0000_t75" style="height:106.55pt;width:159.8pt;" o:ole="t" filled="f" o:preferrelative="t" stroked="f" coordsize="21600,21600">
                        <v:path/>
                        <v:fill on="f" focussize="0,0"/>
                        <v:stroke on="f" joinstyle="miter"/>
                        <v:imagedata r:id="rId12" o:title=""/>
                        <o:lock v:ext="edit" aspectratio="f"/>
                        <w10:wrap type="none"/>
                        <w10:anchorlock/>
                      </v:shape>
                      <o:OLEObject Type="Embed" ProgID="Visio.Drawing.15" ShapeID="_x0000_i1028" DrawAspect="Content" ObjectID="_1468075728" r:id="rId11">
                        <o:LockedField>false</o:LockedField>
                      </o:OLEObject>
                    </w:object>
                  </w:r>
                </w:p>
                <w:p>
                  <w:pPr>
                    <w:pStyle w:val="14"/>
                    <w:ind w:firstLine="0" w:firstLineChars="0"/>
                    <w:jc w:val="center"/>
                    <w:rPr>
                      <w:rFonts w:ascii="Times New Roman" w:hAnsi="Times New Roman" w:cs="Times New Roman"/>
                    </w:rPr>
                  </w:pPr>
                  <w:r>
                    <w:rPr>
                      <w:rFonts w:ascii="Times New Roman" w:hAnsi="Times New Roman" w:cs="Times New Roman"/>
                    </w:rPr>
                    <w:t>图例3</w:t>
                  </w:r>
                </w:p>
              </w:tc>
              <w:tc>
                <w:tcPr>
                  <w:tcW w:w="3994" w:type="dxa"/>
                  <w:noWrap w:val="0"/>
                  <w:vAlign w:val="top"/>
                </w:tcPr>
                <w:p>
                  <w:pPr>
                    <w:pStyle w:val="14"/>
                    <w:ind w:firstLine="0" w:firstLineChars="0"/>
                    <w:jc w:val="center"/>
                    <w:rPr>
                      <w:rFonts w:ascii="Times New Roman" w:hAnsi="Times New Roman" w:cs="Times New Roman"/>
                    </w:rPr>
                  </w:pPr>
                  <w:r>
                    <w:rPr>
                      <w:rFonts w:ascii="Times New Roman" w:hAnsi="Times New Roman" w:cs="Times New Roman"/>
                    </w:rPr>
                    <w:object>
                      <v:shape id="_x0000_i1029" o:spt="75" type="#_x0000_t75" style="height:100.45pt;width:151.55pt;" o:ole="t" filled="f" o:preferrelative="t" stroked="f" coordsize="21600,21600">
                        <v:path/>
                        <v:fill on="f" focussize="0,0"/>
                        <v:stroke on="f" joinstyle="miter"/>
                        <v:imagedata r:id="rId14" o:title=""/>
                        <o:lock v:ext="edit" aspectratio="f"/>
                        <w10:wrap type="none"/>
                        <w10:anchorlock/>
                      </v:shape>
                      <o:OLEObject Type="Embed" ProgID="Visio.Drawing.15" ShapeID="_x0000_i1029" DrawAspect="Content" ObjectID="_1468075729" r:id="rId13">
                        <o:LockedField>false</o:LockedField>
                      </o:OLEObject>
                    </w:object>
                  </w:r>
                </w:p>
                <w:p>
                  <w:pPr>
                    <w:pStyle w:val="14"/>
                    <w:ind w:firstLine="0" w:firstLineChars="0"/>
                    <w:jc w:val="center"/>
                    <w:rPr>
                      <w:rFonts w:ascii="Times New Roman" w:hAnsi="Times New Roman" w:cs="Times New Roman"/>
                    </w:rPr>
                  </w:pPr>
                  <w:r>
                    <w:rPr>
                      <w:rFonts w:ascii="Times New Roman" w:hAnsi="Times New Roman" w:cs="Times New Roman"/>
                    </w:rPr>
                    <w:t>图例4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8" w:hRule="atLeast"/>
                <w:jc w:val="center"/>
              </w:trPr>
              <w:tc>
                <w:tcPr>
                  <w:tcW w:w="3695" w:type="dxa"/>
                  <w:noWrap w:val="0"/>
                  <w:vAlign w:val="top"/>
                </w:tcPr>
                <w:p>
                  <w:pPr>
                    <w:pStyle w:val="14"/>
                    <w:ind w:firstLine="0" w:firstLineChars="0"/>
                    <w:jc w:val="center"/>
                    <w:rPr>
                      <w:rFonts w:ascii="Times New Roman" w:hAnsi="Times New Roman" w:cs="Times New Roman"/>
                    </w:rPr>
                  </w:pPr>
                  <w:r>
                    <w:rPr>
                      <w:rFonts w:ascii="Times New Roman" w:hAnsi="Times New Roman" w:cs="Times New Roman"/>
                    </w:rPr>
                    <w:object>
                      <v:shape id="_x0000_i1030" o:spt="75" type="#_x0000_t75" style="height:91.55pt;width:170.15pt;" o:ole="t" filled="f" o:preferrelative="t" stroked="f" coordsize="21600,21600">
                        <v:path/>
                        <v:fill on="f" focussize="0,0"/>
                        <v:stroke on="f" joinstyle="miter"/>
                        <v:imagedata r:id="rId16" o:title=""/>
                        <o:lock v:ext="edit" aspectratio="f"/>
                        <w10:wrap type="none"/>
                        <w10:anchorlock/>
                      </v:shape>
                      <o:OLEObject Type="Embed" ProgID="Visio.Drawing.15" ShapeID="_x0000_i1030" DrawAspect="Content" ObjectID="_1468075730" r:id="rId15">
                        <o:LockedField>false</o:LockedField>
                      </o:OLEObject>
                    </w:object>
                  </w:r>
                </w:p>
                <w:p>
                  <w:pPr>
                    <w:pStyle w:val="14"/>
                    <w:ind w:firstLine="0" w:firstLineChars="0"/>
                    <w:jc w:val="center"/>
                    <w:rPr>
                      <w:rFonts w:ascii="Times New Roman" w:hAnsi="Times New Roman" w:cs="Times New Roman"/>
                    </w:rPr>
                  </w:pPr>
                  <w:r>
                    <w:rPr>
                      <w:rFonts w:ascii="Times New Roman" w:hAnsi="Times New Roman" w:cs="Times New Roman"/>
                    </w:rPr>
                    <w:t>图例5</w:t>
                  </w:r>
                </w:p>
              </w:tc>
              <w:tc>
                <w:tcPr>
                  <w:tcW w:w="3994" w:type="dxa"/>
                  <w:noWrap w:val="0"/>
                  <w:vAlign w:val="top"/>
                </w:tcPr>
                <w:p>
                  <w:pPr>
                    <w:pStyle w:val="14"/>
                    <w:ind w:firstLine="0" w:firstLineChars="0"/>
                    <w:jc w:val="center"/>
                    <w:rPr>
                      <w:rFonts w:ascii="Times New Roman" w:hAnsi="Times New Roman" w:cs="Times New Roman"/>
                    </w:rPr>
                  </w:pPr>
                  <w:r>
                    <w:rPr>
                      <w:rFonts w:ascii="Times New Roman" w:hAnsi="Times New Roman" w:cs="Times New Roman"/>
                    </w:rPr>
                    <w:object>
                      <v:shape id="_x0000_i1031" o:spt="75" type="#_x0000_t75" style="height:82.4pt;width:157.3pt;" o:ole="t" filled="f" o:preferrelative="t" stroked="f" coordsize="21600,21600">
                        <v:path/>
                        <v:fill on="f" focussize="0,0"/>
                        <v:stroke on="f" joinstyle="miter"/>
                        <v:imagedata r:id="rId18" o:title=""/>
                        <o:lock v:ext="edit" aspectratio="f"/>
                        <w10:wrap type="none"/>
                        <w10:anchorlock/>
                      </v:shape>
                      <o:OLEObject Type="Embed" ProgID="Visio.Drawing.15" ShapeID="_x0000_i1031" DrawAspect="Content" ObjectID="_1468075731" r:id="rId17">
                        <o:LockedField>false</o:LockedField>
                      </o:OLEObject>
                    </w:object>
                  </w:r>
                </w:p>
                <w:p>
                  <w:pPr>
                    <w:pStyle w:val="14"/>
                    <w:ind w:firstLine="0" w:firstLineChars="0"/>
                    <w:jc w:val="center"/>
                    <w:rPr>
                      <w:rFonts w:ascii="Times New Roman" w:hAnsi="Times New Roman" w:cs="Times New Roman"/>
                    </w:rPr>
                  </w:pPr>
                  <w:r>
                    <w:rPr>
                      <w:rFonts w:ascii="Times New Roman" w:hAnsi="Times New Roman" w:cs="Times New Roman"/>
                    </w:rPr>
                    <w:t>图例6</w:t>
                  </w:r>
                </w:p>
              </w:tc>
            </w:tr>
          </w:tbl>
          <w:p>
            <w:pPr>
              <w:pStyle w:val="14"/>
              <w:ind w:firstLine="0" w:firstLineChars="0"/>
              <w:jc w:val="center"/>
              <w:rPr>
                <w:rFonts w:ascii="Times New Roman" w:hAnsi="Times New Roman" w:cs="Times New Roman"/>
              </w:rPr>
            </w:pPr>
          </w:p>
        </w:tc>
        <w:tc>
          <w:tcPr>
            <w:tcW w:w="222" w:type="dxa"/>
            <w:noWrap w:val="0"/>
            <w:vAlign w:val="top"/>
          </w:tcPr>
          <w:p>
            <w:pPr>
              <w:pStyle w:val="14"/>
              <w:ind w:firstLine="0" w:firstLineChars="0"/>
              <w:jc w:val="center"/>
              <w:rPr>
                <w:rFonts w:ascii="Times New Roman" w:hAnsi="Times New Roman" w:cs="Times New Roman"/>
              </w:rPr>
            </w:pPr>
          </w:p>
        </w:tc>
      </w:tr>
    </w:tbl>
    <w:p>
      <w:pPr>
        <w:pStyle w:val="25"/>
        <w:numPr>
          <w:ilvl w:val="0"/>
          <w:numId w:val="0"/>
        </w:numPr>
        <w:ind w:left="726" w:hanging="363"/>
        <w:rPr>
          <w:rFonts w:ascii="Times New Roman"/>
        </w:rPr>
      </w:pPr>
      <w:r>
        <w:rPr>
          <w:rFonts w:ascii="Times New Roman"/>
        </w:rPr>
        <w:t>A——连续空白区域</w:t>
      </w:r>
    </w:p>
    <w:p>
      <w:pPr>
        <w:pStyle w:val="25"/>
        <w:rPr>
          <w:rFonts w:ascii="Times New Roman"/>
        </w:rPr>
      </w:pPr>
      <w:r>
        <w:rPr>
          <w:rFonts w:ascii="Times New Roman"/>
          <w:shd w:val="clear" w:color="auto" w:fill="FFFFFF"/>
        </w:rPr>
        <w:t>图例5中，用于</w:t>
      </w:r>
      <w:r>
        <w:rPr>
          <w:rFonts w:ascii="Times New Roman" w:eastAsia="等线"/>
          <w:shd w:val="clear" w:color="auto" w:fill="FFFFFF"/>
        </w:rPr>
        <w:t>CVM</w:t>
      </w:r>
      <w:r>
        <w:rPr>
          <w:rFonts w:ascii="Times New Roman"/>
          <w:shd w:val="clear" w:color="auto" w:fill="FFFFFF"/>
        </w:rPr>
        <w:t>引线的突出点，不作为轮廓尺寸参考点。</w:t>
      </w:r>
    </w:p>
    <w:p>
      <w:pPr>
        <w:pStyle w:val="22"/>
        <w:rPr>
          <w:rFonts w:ascii="Times New Roman"/>
        </w:rPr>
      </w:pPr>
      <w:r>
        <w:rPr>
          <w:rFonts w:ascii="Times New Roman"/>
        </w:rPr>
        <w:t>燃料电池堆长宽测量示意图</w:t>
      </w:r>
    </w:p>
    <w:p>
      <w:pPr>
        <w:pStyle w:val="13"/>
        <w:rPr>
          <w:rFonts w:ascii="Times New Roman"/>
        </w:rPr>
      </w:pPr>
      <w:r>
        <w:rPr>
          <w:rFonts w:ascii="Times New Roman"/>
        </w:rPr>
        <w:t>燃料电池堆体积功率密度</w:t>
      </w:r>
      <w:r>
        <w:rPr>
          <w:rFonts w:ascii="Times New Roman"/>
          <w:i/>
          <w:iCs/>
        </w:rPr>
        <w:t>VSP</w:t>
      </w:r>
      <w:r>
        <w:rPr>
          <w:rFonts w:ascii="Times New Roman"/>
          <w:i/>
          <w:iCs/>
          <w:vertAlign w:val="subscript"/>
        </w:rPr>
        <w:t>Stack</w:t>
      </w:r>
    </w:p>
    <w:p>
      <w:pPr>
        <w:pStyle w:val="12"/>
        <w:ind w:firstLine="420"/>
        <w:rPr>
          <w:rFonts w:ascii="Times New Roman"/>
        </w:rPr>
      </w:pPr>
      <w:r>
        <w:rPr>
          <w:rFonts w:ascii="Times New Roman"/>
        </w:rPr>
        <w:t>燃料电池堆体积功率</w:t>
      </w:r>
      <w:r>
        <w:rPr>
          <w:rFonts w:hint="eastAsia" w:ascii="Times New Roman"/>
        </w:rPr>
        <w:t>密度</w:t>
      </w:r>
      <w:r>
        <w:rPr>
          <w:rFonts w:ascii="Times New Roman" w:eastAsia="黑体"/>
          <w:i/>
          <w:iCs/>
          <w:szCs w:val="21"/>
        </w:rPr>
        <w:t>VSP</w:t>
      </w:r>
      <w:r>
        <w:rPr>
          <w:rFonts w:ascii="Times New Roman" w:eastAsia="黑体"/>
          <w:i/>
          <w:iCs/>
          <w:szCs w:val="21"/>
          <w:vertAlign w:val="subscript"/>
        </w:rPr>
        <w:t>Stack</w:t>
      </w:r>
      <w:r>
        <w:rPr>
          <w:rFonts w:ascii="Times New Roman"/>
        </w:rPr>
        <w:t>按照公式（3）计算，单位为kW/L。</w:t>
      </w:r>
    </w:p>
    <w:p>
      <w:pPr>
        <w:pStyle w:val="23"/>
        <w:rPr>
          <w:rFonts w:ascii="Times New Roman" w:hAnsi="Times New Roman" w:cs="Times New Roman"/>
        </w:rPr>
      </w:pPr>
      <w:r>
        <w:rPr>
          <w:rFonts w:ascii="Times New Roman" w:hAnsi="Times New Roman" w:cs="Times New Roman"/>
        </w:rPr>
        <w:tab/>
      </w:r>
      <m:oMath>
        <m:sSub>
          <m:sSubPr>
            <m:ctrlPr>
              <w:rPr>
                <w:rFonts w:hint="default" w:ascii="Cambria Math" w:hAnsi="Cambria Math" w:cs="Times New Roman"/>
                <w:i/>
                <w:iCs/>
              </w:rPr>
            </m:ctrlPr>
          </m:sSubPr>
          <m:e>
            <m:r>
              <w:rPr>
                <w:rFonts w:hint="default" w:ascii="Cambria Math" w:hAnsi="Cambria Math" w:cs="Times New Roman"/>
              </w:rPr>
              <m:t>VSP</m:t>
            </m:r>
            <m:ctrlPr>
              <w:rPr>
                <w:rFonts w:hint="default" w:ascii="Cambria Math" w:hAnsi="Cambria Math" w:cs="Times New Roman"/>
                <w:i/>
                <w:iCs/>
              </w:rPr>
            </m:ctrlPr>
          </m:e>
          <m:sub>
            <m:r>
              <w:rPr>
                <w:rFonts w:hint="default" w:ascii="Cambria Math" w:hAnsi="Cambria Math" w:cs="Times New Roman"/>
              </w:rPr>
              <m:t>Stack</m:t>
            </m:r>
            <m:ctrlPr>
              <w:rPr>
                <w:rFonts w:hint="default" w:ascii="Cambria Math" w:hAnsi="Cambria Math" w:cs="Times New Roman"/>
                <w:i/>
                <w:iCs/>
              </w:rPr>
            </m:ctrlPr>
          </m:sub>
        </m:sSub>
        <m:r>
          <m:rPr>
            <m:sty m:val="p"/>
          </m:rPr>
          <w:rPr>
            <w:rFonts w:hint="default" w:ascii="Cambria Math" w:hAnsi="Cambria Math" w:cs="Times New Roman"/>
          </w:rPr>
          <m:t>=</m:t>
        </m:r>
        <m:sSub>
          <m:sSubPr>
            <m:ctrlPr>
              <w:rPr>
                <w:rFonts w:hint="default" w:ascii="Cambria Math" w:hAnsi="Cambria Math" w:cs="Times New Roman"/>
                <w:i/>
                <w:iCs/>
              </w:rPr>
            </m:ctrlPr>
          </m:sSubPr>
          <m:e>
            <m:r>
              <w:rPr>
                <w:rFonts w:hint="default" w:ascii="Cambria Math" w:hAnsi="Cambria Math" w:cs="Times New Roman"/>
              </w:rPr>
              <m:t>P</m:t>
            </m:r>
            <m:ctrlPr>
              <w:rPr>
                <w:rFonts w:hint="default" w:ascii="Cambria Math" w:hAnsi="Cambria Math" w:cs="Times New Roman"/>
                <w:i/>
                <w:iCs/>
              </w:rPr>
            </m:ctrlPr>
          </m:e>
          <m:sub>
            <m:r>
              <w:rPr>
                <w:rFonts w:hint="default" w:ascii="Cambria Math" w:hAnsi="Cambria Math" w:cs="Times New Roman"/>
                <w:vertAlign w:val="subscript"/>
              </w:rPr>
              <m:t>stack</m:t>
            </m:r>
            <m:ctrlPr>
              <w:rPr>
                <w:rFonts w:hint="default" w:ascii="Cambria Math" w:hAnsi="Cambria Math" w:cs="Times New Roman"/>
                <w:i/>
                <w:iCs/>
              </w:rPr>
            </m:ctrlPr>
          </m:sub>
        </m:sSub>
        <m:r>
          <m:rPr>
            <m:sty m:val="p"/>
          </m:rPr>
          <w:rPr>
            <w:rFonts w:hint="default" w:ascii="Cambria Math" w:hAnsi="Cambria Math" w:cs="Times New Roman"/>
          </w:rPr>
          <m:t>/</m:t>
        </m:r>
        <m:sSub>
          <m:sSubPr>
            <m:ctrlPr>
              <w:rPr>
                <w:rFonts w:hint="default" w:ascii="Cambria Math" w:hAnsi="Cambria Math" w:cs="Times New Roman"/>
                <w:i/>
                <w:iCs/>
              </w:rPr>
            </m:ctrlPr>
          </m:sSubPr>
          <m:e>
            <m:r>
              <w:rPr>
                <w:rFonts w:hint="default" w:ascii="Cambria Math" w:hAnsi="Cambria Math" w:cs="Times New Roman"/>
              </w:rPr>
              <m:t>V</m:t>
            </m:r>
            <m:ctrlPr>
              <w:rPr>
                <w:rFonts w:hint="default" w:ascii="Cambria Math" w:hAnsi="Cambria Math" w:cs="Times New Roman"/>
                <w:i/>
                <w:iCs/>
              </w:rPr>
            </m:ctrlPr>
          </m:e>
          <m:sub>
            <m:r>
              <w:rPr>
                <w:rFonts w:hint="default" w:ascii="Cambria Math" w:hAnsi="Cambria Math" w:cs="Times New Roman"/>
                <w:vertAlign w:val="subscript"/>
              </w:rPr>
              <m:t>Stack</m:t>
            </m:r>
            <m:ctrlPr>
              <w:rPr>
                <w:rFonts w:hint="default" w:ascii="Cambria Math" w:hAnsi="Cambria Math" w:cs="Times New Roman"/>
                <w:i/>
                <w:iCs/>
              </w:rPr>
            </m:ctrlPr>
          </m:sub>
        </m:sSub>
      </m:oMath>
      <w:r>
        <w:rPr>
          <w:rFonts w:ascii="Times New Roman" w:hAnsi="Times New Roman" w:cs="Times New Roman"/>
        </w:rPr>
        <w:tab/>
      </w:r>
      <w:r>
        <w:rPr>
          <w:rFonts w:ascii="Times New Roman" w:hAnsi="Times New Roman" w:cs="Times New Roman"/>
        </w:rPr>
        <w:t>(3)</w:t>
      </w:r>
    </w:p>
    <w:p>
      <w:pPr>
        <w:pStyle w:val="17"/>
        <w:rPr>
          <w:rFonts w:ascii="Times New Roman"/>
        </w:rPr>
      </w:pPr>
      <w:r>
        <w:rPr>
          <w:rFonts w:ascii="Times New Roman"/>
        </w:rPr>
        <w:t>燃料电池系统低温冷起动测试方法</w:t>
      </w:r>
    </w:p>
    <w:p>
      <w:pPr>
        <w:pStyle w:val="13"/>
        <w:rPr>
          <w:rFonts w:ascii="Times New Roman"/>
        </w:rPr>
      </w:pPr>
      <w:r>
        <w:rPr>
          <w:rFonts w:ascii="Times New Roman"/>
        </w:rPr>
        <w:t>浸机方法</w:t>
      </w:r>
    </w:p>
    <w:p>
      <w:pPr>
        <w:pStyle w:val="20"/>
        <w:rPr>
          <w:rFonts w:ascii="Times New Roman"/>
        </w:rPr>
      </w:pPr>
      <w:r>
        <w:rPr>
          <w:rFonts w:ascii="Times New Roman"/>
        </w:rPr>
        <w:t>试验开始前，燃料电池系统应处于冷机状态。</w:t>
      </w:r>
    </w:p>
    <w:p>
      <w:pPr>
        <w:pStyle w:val="20"/>
        <w:rPr>
          <w:rFonts w:ascii="Times New Roman"/>
        </w:rPr>
      </w:pPr>
      <w:r>
        <w:rPr>
          <w:rFonts w:ascii="Times New Roman"/>
        </w:rPr>
        <w:t>将燃料电池系统置于环境舱内，并加注冷却液。</w:t>
      </w:r>
    </w:p>
    <w:p>
      <w:pPr>
        <w:pStyle w:val="20"/>
        <w:rPr>
          <w:rFonts w:ascii="Times New Roman"/>
        </w:rPr>
      </w:pPr>
      <w:r>
        <w:rPr>
          <w:rFonts w:hint="eastAsia" w:ascii="Times New Roman"/>
        </w:rPr>
        <w:t>在</w:t>
      </w:r>
      <w:r>
        <w:rPr>
          <w:rFonts w:ascii="Times New Roman"/>
        </w:rPr>
        <w:t>浸机开始前，</w:t>
      </w:r>
      <w:r>
        <w:rPr>
          <w:rFonts w:hint="eastAsia" w:ascii="Times New Roman"/>
        </w:rPr>
        <w:t>燃料电池系统应</w:t>
      </w:r>
      <w:r>
        <w:rPr>
          <w:rFonts w:ascii="Times New Roman"/>
        </w:rPr>
        <w:t>起动至怠速</w:t>
      </w:r>
      <w:r>
        <w:rPr>
          <w:rFonts w:hint="eastAsia" w:ascii="Times New Roman"/>
        </w:rPr>
        <w:t>状态</w:t>
      </w:r>
      <w:r>
        <w:rPr>
          <w:rFonts w:ascii="Times New Roman"/>
        </w:rPr>
        <w:t>，</w:t>
      </w:r>
      <w:r>
        <w:t>持续时间（含起动）不超过3min</w:t>
      </w:r>
      <w:r>
        <w:rPr>
          <w:rFonts w:hint="eastAsia"/>
        </w:rPr>
        <w:t>，</w:t>
      </w:r>
      <w:r>
        <w:rPr>
          <w:rFonts w:ascii="Times New Roman"/>
        </w:rPr>
        <w:t>然后立即关闭燃料电池系统</w:t>
      </w:r>
      <w:r>
        <w:rPr>
          <w:rFonts w:hint="eastAsia" w:ascii="Times New Roman"/>
        </w:rPr>
        <w:t>。</w:t>
      </w:r>
    </w:p>
    <w:p>
      <w:pPr>
        <w:pStyle w:val="25"/>
      </w:pPr>
      <w:r>
        <w:rPr>
          <w:rFonts w:hint="eastAsia"/>
        </w:rPr>
        <w:t>对于具备低温吹扫功能的燃料电池系统，可在环境仓降至厂商指定温度并持续至少</w:t>
      </w:r>
      <w:r>
        <w:t>15</w:t>
      </w:r>
      <w:r>
        <w:rPr>
          <w:rFonts w:hint="eastAsia"/>
        </w:rPr>
        <w:t>分钟后，按照</w:t>
      </w:r>
      <w:r>
        <w:t>5.1.3</w:t>
      </w:r>
      <w:r>
        <w:rPr>
          <w:rFonts w:hint="eastAsia"/>
        </w:rPr>
        <w:t>规定的方法进行低温吹扫代替浸机前吹扫。</w:t>
      </w:r>
    </w:p>
    <w:p>
      <w:pPr>
        <w:pStyle w:val="20"/>
        <w:rPr>
          <w:rFonts w:ascii="Times New Roman"/>
        </w:rPr>
      </w:pPr>
      <w:r>
        <w:rPr>
          <w:rFonts w:ascii="Times New Roman"/>
        </w:rPr>
        <w:t>设定环境舱温度为-30℃</w:t>
      </w:r>
      <w:r>
        <w:rPr>
          <w:rFonts w:hint="eastAsia" w:ascii="Times New Roman"/>
        </w:rPr>
        <w:t>或更低温度</w:t>
      </w:r>
      <w:r>
        <w:rPr>
          <w:rFonts w:ascii="Times New Roman"/>
        </w:rPr>
        <w:t>，环境舱的温度应控制在</w:t>
      </w:r>
      <w:r>
        <w:rPr>
          <w:rFonts w:hint="eastAsia" w:ascii="Times New Roman"/>
        </w:rPr>
        <w:t>设定温度的</w:t>
      </w:r>
      <w:r>
        <w:rPr>
          <w:rFonts w:ascii="Times New Roman"/>
        </w:rPr>
        <w:t>±2℃内，当环境温度达到设定温度后开始计时，有效浸机时间为12 h，浸机过程中不应有人工干预、加热保温及外接热源等措施。</w:t>
      </w:r>
    </w:p>
    <w:p>
      <w:pPr>
        <w:pStyle w:val="25"/>
        <w:rPr>
          <w:rFonts w:ascii="Times New Roman"/>
        </w:rPr>
      </w:pPr>
      <w:r>
        <w:rPr>
          <w:rFonts w:ascii="Times New Roman"/>
        </w:rPr>
        <w:t>有效浸机时间是指从环境舱的温度达到设定温度后开始计时到浸机结束。</w:t>
      </w:r>
    </w:p>
    <w:p>
      <w:pPr>
        <w:pStyle w:val="13"/>
        <w:rPr>
          <w:rFonts w:ascii="Times New Roman"/>
        </w:rPr>
      </w:pPr>
      <w:r>
        <w:rPr>
          <w:rFonts w:ascii="Times New Roman"/>
        </w:rPr>
        <w:t>测试方法</w:t>
      </w:r>
    </w:p>
    <w:p>
      <w:pPr>
        <w:pStyle w:val="12"/>
        <w:ind w:firstLine="420"/>
        <w:rPr>
          <w:rFonts w:ascii="Times New Roman"/>
        </w:rPr>
      </w:pPr>
      <w:r>
        <w:rPr>
          <w:rFonts w:ascii="Times New Roman"/>
        </w:rPr>
        <w:t>试验步骤如下：</w:t>
      </w:r>
    </w:p>
    <w:p>
      <w:pPr>
        <w:pStyle w:val="15"/>
        <w:numPr>
          <w:ilvl w:val="0"/>
          <w:numId w:val="9"/>
        </w:numPr>
        <w:rPr>
          <w:rFonts w:ascii="Times New Roman"/>
        </w:rPr>
      </w:pPr>
      <w:r>
        <w:rPr>
          <w:rFonts w:ascii="Times New Roman"/>
        </w:rPr>
        <w:t>浸机过程结束后，由测试平台向燃料电池系统发送起动指令。</w:t>
      </w:r>
    </w:p>
    <w:p>
      <w:pPr>
        <w:pStyle w:val="15"/>
        <w:rPr>
          <w:rFonts w:ascii="Times New Roman"/>
        </w:rPr>
      </w:pPr>
      <w:r>
        <w:rPr>
          <w:rFonts w:ascii="Times New Roman"/>
        </w:rPr>
        <w:t>测试平台向燃料电池系统发送加载指令，加载到</w:t>
      </w:r>
      <w:r>
        <w:rPr>
          <w:rFonts w:hint="eastAsia" w:ascii="Times New Roman"/>
        </w:rPr>
        <w:t>制造商申报的系统</w:t>
      </w:r>
      <w:r>
        <w:rPr>
          <w:rFonts w:ascii="Times New Roman"/>
        </w:rPr>
        <w:t>额定功率后持续稳定运行10min，燃料电池系统的输出功率应始终处于10min平均功率的97%~103%之间，且燃料电池系统输出的10min平均功率应不低于申报值，然后测试平台发送关机指令，完成关机操作。</w:t>
      </w:r>
    </w:p>
    <w:p>
      <w:pPr>
        <w:pStyle w:val="15"/>
        <w:rPr>
          <w:rFonts w:ascii="Times New Roman"/>
        </w:rPr>
      </w:pPr>
      <w:r>
        <w:rPr>
          <w:rFonts w:ascii="Times New Roman"/>
        </w:rPr>
        <w:t>记录从测试平台发送起动指令开始至燃料电池系统达到额定功率的时间以及氢气消耗量。</w:t>
      </w:r>
    </w:p>
    <w:p>
      <w:pPr>
        <w:pStyle w:val="13"/>
        <w:rPr>
          <w:rFonts w:ascii="Times New Roman"/>
        </w:rPr>
      </w:pPr>
      <w:r>
        <w:rPr>
          <w:rFonts w:ascii="Times New Roman"/>
        </w:rPr>
        <w:t>数据记录</w:t>
      </w:r>
    </w:p>
    <w:p>
      <w:pPr>
        <w:pStyle w:val="12"/>
        <w:ind w:firstLine="420"/>
        <w:rPr>
          <w:rFonts w:ascii="Times New Roman"/>
        </w:rPr>
      </w:pPr>
      <w:r>
        <w:rPr>
          <w:rFonts w:ascii="Times New Roman"/>
        </w:rPr>
        <w:t>试验中需要记录的数据如下：</w:t>
      </w:r>
    </w:p>
    <w:p>
      <w:pPr>
        <w:pStyle w:val="15"/>
        <w:numPr>
          <w:ilvl w:val="0"/>
          <w:numId w:val="10"/>
        </w:numPr>
        <w:spacing w:before="78" w:after="78"/>
        <w:rPr>
          <w:rFonts w:ascii="Times New Roman"/>
        </w:rPr>
      </w:pPr>
      <w:r>
        <w:rPr>
          <w:rFonts w:ascii="Times New Roman"/>
        </w:rPr>
        <w:t>环境温度（℃）；</w:t>
      </w:r>
    </w:p>
    <w:p>
      <w:pPr>
        <w:pStyle w:val="15"/>
        <w:spacing w:before="78" w:after="78"/>
        <w:rPr>
          <w:rFonts w:ascii="Times New Roman"/>
        </w:rPr>
      </w:pPr>
      <w:r>
        <w:rPr>
          <w:rFonts w:ascii="Times New Roman"/>
        </w:rPr>
        <w:t>有效浸机时间（h）；</w:t>
      </w:r>
    </w:p>
    <w:p>
      <w:pPr>
        <w:pStyle w:val="15"/>
        <w:spacing w:before="78" w:after="78"/>
        <w:rPr>
          <w:rFonts w:ascii="Times New Roman"/>
        </w:rPr>
      </w:pPr>
      <w:r>
        <w:rPr>
          <w:rFonts w:ascii="Times New Roman"/>
        </w:rPr>
        <w:t>燃料电池堆的电压（V）和电流（A）；</w:t>
      </w:r>
    </w:p>
    <w:p>
      <w:pPr>
        <w:pStyle w:val="15"/>
        <w:spacing w:before="78" w:after="78"/>
        <w:rPr>
          <w:rFonts w:ascii="Times New Roman"/>
        </w:rPr>
      </w:pPr>
      <w:r>
        <w:rPr>
          <w:rFonts w:ascii="Times New Roman"/>
        </w:rPr>
        <w:t>各个辅助系统的电压（V）和电流（A）；</w:t>
      </w:r>
    </w:p>
    <w:p>
      <w:pPr>
        <w:pStyle w:val="15"/>
        <w:numPr>
          <w:ilvl w:val="0"/>
          <w:numId w:val="10"/>
        </w:numPr>
        <w:spacing w:before="78" w:after="78"/>
        <w:rPr>
          <w:rFonts w:ascii="Times New Roman"/>
        </w:rPr>
      </w:pPr>
      <w:r>
        <w:rPr>
          <w:rFonts w:ascii="Times New Roman"/>
        </w:rPr>
        <w:t>氢气消耗量（g）；</w:t>
      </w:r>
    </w:p>
    <w:p>
      <w:pPr>
        <w:pStyle w:val="15"/>
        <w:numPr>
          <w:ilvl w:val="0"/>
          <w:numId w:val="10"/>
        </w:numPr>
        <w:spacing w:before="78" w:after="78"/>
        <w:rPr>
          <w:rFonts w:ascii="Times New Roman"/>
        </w:rPr>
      </w:pPr>
      <w:r>
        <w:rPr>
          <w:rFonts w:ascii="Times New Roman"/>
        </w:rPr>
        <w:t>冷起动时间（s）。</w:t>
      </w:r>
    </w:p>
    <w:p>
      <w:pPr>
        <w:pStyle w:val="17"/>
        <w:rPr>
          <w:rFonts w:ascii="Times New Roman"/>
        </w:rPr>
      </w:pPr>
      <w:r>
        <w:rPr>
          <w:rFonts w:ascii="Times New Roman"/>
        </w:rPr>
        <w:t>燃料电池汽车纯氢续驶里程</w:t>
      </w:r>
    </w:p>
    <w:p>
      <w:pPr>
        <w:pStyle w:val="13"/>
        <w:rPr>
          <w:rFonts w:ascii="Times New Roman"/>
        </w:rPr>
      </w:pPr>
      <w:r>
        <w:rPr>
          <w:rFonts w:ascii="Times New Roman"/>
        </w:rPr>
        <w:t>测试条件</w:t>
      </w:r>
    </w:p>
    <w:p>
      <w:pPr>
        <w:pStyle w:val="20"/>
        <w:rPr>
          <w:rFonts w:ascii="Times New Roman"/>
        </w:rPr>
      </w:pPr>
      <w:r>
        <w:rPr>
          <w:rFonts w:ascii="Times New Roman"/>
        </w:rPr>
        <w:t>在20℃～30℃的室温下进行室内试验。</w:t>
      </w:r>
    </w:p>
    <w:p>
      <w:pPr>
        <w:pStyle w:val="20"/>
        <w:rPr>
          <w:rFonts w:ascii="Times New Roman"/>
        </w:rPr>
      </w:pPr>
      <w:r>
        <w:rPr>
          <w:rFonts w:ascii="Times New Roman"/>
        </w:rPr>
        <w:t>机械运动部件用润滑油黏度</w:t>
      </w:r>
      <w:r>
        <w:rPr>
          <w:rFonts w:hint="eastAsia" w:ascii="Times New Roman"/>
        </w:rPr>
        <w:t>和轮胎压力</w:t>
      </w:r>
      <w:r>
        <w:rPr>
          <w:rFonts w:ascii="Times New Roman"/>
        </w:rPr>
        <w:t>应符合制造厂的规定。</w:t>
      </w:r>
    </w:p>
    <w:p>
      <w:pPr>
        <w:pStyle w:val="20"/>
        <w:rPr>
          <w:rFonts w:ascii="Times New Roman"/>
        </w:rPr>
      </w:pPr>
      <w:r>
        <w:rPr>
          <w:rFonts w:ascii="Times New Roman"/>
        </w:rPr>
        <w:t>车上的照明、信号装置以及辅助设备应该关闭，除非试验和车辆白天运行对这些装置有要求。</w:t>
      </w:r>
    </w:p>
    <w:p>
      <w:pPr>
        <w:pStyle w:val="20"/>
        <w:rPr>
          <w:rFonts w:ascii="Times New Roman"/>
        </w:rPr>
      </w:pPr>
      <w:r>
        <w:rPr>
          <w:rFonts w:ascii="Times New Roman"/>
        </w:rPr>
        <w:t>除驱动用途外，所有的储能系统(电能、液压、气压等)应充到制造厂规定的最大值。</w:t>
      </w:r>
    </w:p>
    <w:p>
      <w:pPr>
        <w:pStyle w:val="20"/>
        <w:rPr>
          <w:rFonts w:ascii="Times New Roman"/>
        </w:rPr>
      </w:pPr>
      <w:r>
        <w:rPr>
          <w:rFonts w:ascii="Times New Roman"/>
        </w:rPr>
        <w:t>试验车辆需按制造厂的规范进行磨合，且磨合里程不小于300km。</w:t>
      </w:r>
    </w:p>
    <w:p>
      <w:pPr>
        <w:pStyle w:val="20"/>
        <w:rPr>
          <w:rFonts w:ascii="Times New Roman"/>
        </w:rPr>
      </w:pPr>
      <w:r>
        <w:rPr>
          <w:rFonts w:ascii="Times New Roman"/>
        </w:rPr>
        <w:t>M</w:t>
      </w:r>
      <w:r>
        <w:rPr>
          <w:rFonts w:ascii="Times New Roman"/>
          <w:vertAlign w:val="subscript"/>
        </w:rPr>
        <w:t>1</w:t>
      </w:r>
      <w:r>
        <w:rPr>
          <w:rFonts w:ascii="Times New Roman"/>
        </w:rPr>
        <w:t>、N</w:t>
      </w:r>
      <w:r>
        <w:rPr>
          <w:rFonts w:ascii="Times New Roman"/>
          <w:vertAlign w:val="subscript"/>
        </w:rPr>
        <w:t>1</w:t>
      </w:r>
      <w:r>
        <w:rPr>
          <w:rFonts w:ascii="Times New Roman"/>
        </w:rPr>
        <w:t>类车辆和总质量不超过3500kg的M</w:t>
      </w:r>
      <w:r>
        <w:rPr>
          <w:rFonts w:ascii="Times New Roman"/>
          <w:vertAlign w:val="subscript"/>
        </w:rPr>
        <w:t>2</w:t>
      </w:r>
      <w:r>
        <w:rPr>
          <w:rFonts w:ascii="Times New Roman"/>
        </w:rPr>
        <w:t>类车辆的底盘测功机设定按照GB 18352.6-2016附件CC的规定进行。其他类型车辆的底盘测功机设定按照GB/T 27840-2011附录C的规定进行</w:t>
      </w:r>
      <w:r>
        <w:rPr>
          <w:rFonts w:hint="eastAsia" w:ascii="Times New Roman"/>
        </w:rPr>
        <w:t>，其中城市客车的附加质量为最大设计装载质量的</w:t>
      </w:r>
      <w:r>
        <w:rPr>
          <w:rFonts w:ascii="Times New Roman"/>
        </w:rPr>
        <w:t>65%。如果行驶阻力曲线由汽车生产企业提供，需要提供</w:t>
      </w:r>
      <w:r>
        <w:rPr>
          <w:rFonts w:hint="eastAsia" w:ascii="Times New Roman"/>
        </w:rPr>
        <w:t>第三方</w:t>
      </w:r>
      <w:r>
        <w:rPr>
          <w:rFonts w:ascii="Times New Roman"/>
        </w:rPr>
        <w:t>试验报告、计算报告或其他相关资料，并由测试机构检验。</w:t>
      </w:r>
    </w:p>
    <w:p>
      <w:pPr>
        <w:pStyle w:val="20"/>
        <w:rPr>
          <w:rFonts w:ascii="Times New Roman"/>
        </w:rPr>
      </w:pPr>
      <w:r>
        <w:rPr>
          <w:rFonts w:ascii="Times New Roman"/>
        </w:rPr>
        <w:t>储氢系统压力为制造厂规定的</w:t>
      </w:r>
      <w:r>
        <w:rPr>
          <w:rFonts w:hint="eastAsia" w:ascii="Times New Roman"/>
        </w:rPr>
        <w:t>公称工作</w:t>
      </w:r>
      <w:r>
        <w:rPr>
          <w:rFonts w:ascii="Times New Roman"/>
        </w:rPr>
        <w:t>压力</w:t>
      </w:r>
      <w:r>
        <w:rPr>
          <w:rFonts w:hint="eastAsia" w:ascii="Times New Roman"/>
        </w:rPr>
        <w:t>（±0.5MPa）。</w:t>
      </w:r>
    </w:p>
    <w:p>
      <w:pPr>
        <w:pStyle w:val="20"/>
        <w:rPr>
          <w:rFonts w:ascii="Times New Roman" w:eastAsia="宋体"/>
          <w:sz w:val="28"/>
          <w:szCs w:val="28"/>
        </w:rPr>
      </w:pPr>
      <w:r>
        <w:rPr>
          <w:rFonts w:ascii="Times New Roman"/>
        </w:rPr>
        <w:t>对于装有动力电池且动力电池参与驱动的燃料电池电动汽车，试验前应按照制造厂的要求调整动力电池SOC。</w:t>
      </w:r>
    </w:p>
    <w:p>
      <w:pPr>
        <w:pStyle w:val="13"/>
        <w:rPr>
          <w:rFonts w:ascii="Times New Roman"/>
        </w:rPr>
      </w:pPr>
      <w:r>
        <w:rPr>
          <w:rFonts w:ascii="Times New Roman"/>
        </w:rPr>
        <w:t>测试方法</w:t>
      </w:r>
    </w:p>
    <w:p>
      <w:pPr>
        <w:pStyle w:val="20"/>
        <w:rPr>
          <w:rFonts w:ascii="Times New Roman"/>
        </w:rPr>
      </w:pPr>
      <w:r>
        <w:rPr>
          <w:rFonts w:hint="eastAsia" w:ascii="Times New Roman"/>
        </w:rPr>
        <w:t>M</w:t>
      </w:r>
      <w:r>
        <w:rPr>
          <w:rFonts w:ascii="Times New Roman"/>
          <w:vertAlign w:val="subscript"/>
        </w:rPr>
        <w:t>1</w:t>
      </w:r>
      <w:r>
        <w:rPr>
          <w:rFonts w:hint="eastAsia" w:ascii="Times New Roman"/>
        </w:rPr>
        <w:t>、</w:t>
      </w:r>
      <w:r>
        <w:rPr>
          <w:rFonts w:ascii="Times New Roman"/>
        </w:rPr>
        <w:t>N</w:t>
      </w:r>
      <w:r>
        <w:rPr>
          <w:rFonts w:ascii="Times New Roman"/>
          <w:vertAlign w:val="subscript"/>
        </w:rPr>
        <w:t>1</w:t>
      </w:r>
      <w:r>
        <w:rPr>
          <w:rFonts w:ascii="Times New Roman"/>
        </w:rPr>
        <w:t>类车辆和最大设计总质量不超过3500kg的M</w:t>
      </w:r>
      <w:r>
        <w:rPr>
          <w:rFonts w:ascii="Times New Roman"/>
          <w:vertAlign w:val="subscript"/>
        </w:rPr>
        <w:t>2</w:t>
      </w:r>
      <w:r>
        <w:rPr>
          <w:rFonts w:ascii="Times New Roman"/>
        </w:rPr>
        <w:t>类车辆，按照GB/T 38146.1规定的循环工况进行续驶里程测试，其他类型车辆按照GB/T 38146.2规定的循环工况进行续驶里程测试，在底盘测功机上进行。</w:t>
      </w:r>
    </w:p>
    <w:p>
      <w:pPr>
        <w:pStyle w:val="12"/>
        <w:ind w:firstLine="420"/>
        <w:rPr>
          <w:rFonts w:ascii="Times New Roman"/>
        </w:rPr>
      </w:pPr>
      <w:r>
        <w:rPr>
          <w:rFonts w:ascii="Times New Roman"/>
        </w:rPr>
        <w:t>按照公式（4）计算燃料电池堆的输出总能量</w:t>
      </w:r>
      <m:oMath>
        <m:sSub>
          <m:sSubPr>
            <m:ctrlPr>
              <w:rPr>
                <w:rFonts w:hint="default" w:ascii="Cambria Math" w:hAnsi="Cambria Math"/>
                <w:i/>
              </w:rPr>
            </m:ctrlPr>
          </m:sSubPr>
          <m:e>
            <m:r>
              <w:rPr>
                <w:rFonts w:hint="default" w:ascii="Cambria Math" w:hAnsi="Cambria Math"/>
              </w:rPr>
              <m:t>E</m:t>
            </m:r>
            <m:ctrlPr>
              <w:rPr>
                <w:rFonts w:hint="default" w:ascii="Cambria Math" w:hAnsi="Cambria Math"/>
                <w:i/>
              </w:rPr>
            </m:ctrlPr>
          </m:e>
          <m:sub>
            <m:r>
              <w:rPr>
                <w:rFonts w:hint="default" w:ascii="Cambria Math" w:hAnsi="Cambria Math"/>
              </w:rPr>
              <m:t>FC</m:t>
            </m:r>
            <m:ctrlPr>
              <w:rPr>
                <w:rFonts w:hint="default" w:ascii="Cambria Math" w:hAnsi="Cambria Math"/>
                <w:i/>
              </w:rPr>
            </m:ctrlPr>
          </m:sub>
        </m:sSub>
      </m:oMath>
      <w:r>
        <w:rPr>
          <w:rFonts w:ascii="Times New Roman"/>
        </w:rPr>
        <w:t>（kWh）：</w:t>
      </w:r>
    </w:p>
    <w:p>
      <w:pPr>
        <w:pStyle w:val="23"/>
        <w:rPr>
          <w:rFonts w:ascii="Times New Roman" w:hAnsi="Times New Roman" w:cs="Times New Roman"/>
        </w:rPr>
      </w:pPr>
      <w:r>
        <w:rPr>
          <w:rFonts w:ascii="Times New Roman" w:hAnsi="Times New Roman" w:cs="Times New Roman"/>
        </w:rPr>
        <w:tab/>
      </w:r>
      <m:oMath>
        <m:sSub>
          <m:sSubPr>
            <m:ctrlPr>
              <w:rPr>
                <w:rFonts w:hint="default" w:ascii="Cambria Math" w:hAnsi="Cambria Math" w:cs="Times New Roman"/>
                <w:i/>
              </w:rPr>
            </m:ctrlPr>
          </m:sSubPr>
          <m:e>
            <m:r>
              <w:rPr>
                <w:rFonts w:hint="default" w:ascii="Cambria Math" w:hAnsi="Cambria Math" w:cs="Times New Roman"/>
              </w:rPr>
              <m:t>E</m:t>
            </m:r>
            <m:ctrlPr>
              <w:rPr>
                <w:rFonts w:hint="default" w:ascii="Cambria Math" w:hAnsi="Cambria Math" w:cs="Times New Roman"/>
                <w:i/>
              </w:rPr>
            </m:ctrlPr>
          </m:e>
          <m:sub>
            <m:r>
              <w:rPr>
                <w:rFonts w:hint="default" w:ascii="Cambria Math" w:hAnsi="Cambria Math" w:cs="Times New Roman"/>
              </w:rPr>
              <m:t>FC</m:t>
            </m:r>
            <m:ctrlPr>
              <w:rPr>
                <w:rFonts w:hint="default" w:ascii="Cambria Math" w:hAnsi="Cambria Math" w:cs="Times New Roman"/>
                <w:i/>
              </w:rPr>
            </m:ctrlPr>
          </m:sub>
        </m:sSub>
        <m:r>
          <w:rPr>
            <w:rFonts w:hint="default" w:ascii="Cambria Math" w:hAnsi="Cambria Math" w:cs="Times New Roman"/>
          </w:rPr>
          <m:t>=</m:t>
        </m:r>
        <m:nary>
          <m:naryPr>
            <m:chr m:val="∫"/>
            <m:ctrlPr>
              <w:rPr>
                <w:rFonts w:hint="default" w:ascii="Cambria Math" w:hAnsi="Cambria Math" w:cs="Times New Roman"/>
                <w:i/>
              </w:rPr>
            </m:ctrlPr>
          </m:naryPr>
          <m:sub>
            <m:r>
              <w:rPr>
                <w:rFonts w:hint="default" w:ascii="Cambria Math" w:hAnsi="Cambria Math" w:cs="Times New Roman"/>
              </w:rPr>
              <m:t>0</m:t>
            </m:r>
            <m:ctrlPr>
              <w:rPr>
                <w:rFonts w:hint="default" w:ascii="Cambria Math" w:hAnsi="Cambria Math" w:cs="Times New Roman"/>
                <w:i/>
              </w:rPr>
            </m:ctrlPr>
          </m:sub>
          <m:sup>
            <m:r>
              <w:rPr>
                <w:rFonts w:hint="default" w:ascii="Cambria Math" w:hAnsi="Cambria Math" w:cs="Times New Roman"/>
              </w:rPr>
              <m:t>T</m:t>
            </m:r>
            <m:ctrlPr>
              <w:rPr>
                <w:rFonts w:hint="default" w:ascii="Cambria Math" w:hAnsi="Cambria Math" w:cs="Times New Roman"/>
                <w:i/>
              </w:rPr>
            </m:ctrlPr>
          </m:sup>
          <m:e>
            <m:sSub>
              <m:sSubPr>
                <m:ctrlPr>
                  <w:rPr>
                    <w:rFonts w:hint="default" w:ascii="Cambria Math" w:hAnsi="Cambria Math" w:cs="Times New Roman"/>
                    <w:i/>
                  </w:rPr>
                </m:ctrlPr>
              </m:sSubPr>
              <m:e>
                <m:r>
                  <w:rPr>
                    <w:rFonts w:hint="default" w:ascii="Cambria Math" w:hAnsi="Cambria Math" w:cs="Times New Roman"/>
                  </w:rPr>
                  <m:t>I</m:t>
                </m:r>
                <m:ctrlPr>
                  <w:rPr>
                    <w:rFonts w:hint="default" w:ascii="Cambria Math" w:hAnsi="Cambria Math" w:cs="Times New Roman"/>
                    <w:i/>
                  </w:rPr>
                </m:ctrlPr>
              </m:e>
              <m:sub>
                <m:r>
                  <m:rPr>
                    <m:nor/>
                  </m:rPr>
                  <w:rPr>
                    <w:rFonts w:hint="default" w:ascii="Cambria Math" w:hAnsi="Cambria Math" w:cs="Times New Roman"/>
                    <w:i/>
                  </w:rPr>
                  <m:t>FC</m:t>
                </m:r>
                <m:ctrlPr>
                  <w:rPr>
                    <w:rFonts w:hint="default" w:ascii="Cambria Math" w:hAnsi="Cambria Math" w:cs="Times New Roman"/>
                    <w:i/>
                  </w:rPr>
                </m:ctrlPr>
              </m:sub>
            </m:sSub>
            <m:sSub>
              <m:sSubPr>
                <m:ctrlPr>
                  <w:rPr>
                    <w:rFonts w:hint="default" w:ascii="Cambria Math" w:hAnsi="Cambria Math" w:cs="Times New Roman"/>
                    <w:i/>
                  </w:rPr>
                </m:ctrlPr>
              </m:sSubPr>
              <m:e>
                <m:r>
                  <w:rPr>
                    <w:rFonts w:hint="default" w:ascii="Cambria Math" w:hAnsi="Cambria Math" w:cs="Times New Roman"/>
                  </w:rPr>
                  <m:t>U</m:t>
                </m:r>
                <m:ctrlPr>
                  <w:rPr>
                    <w:rFonts w:hint="default" w:ascii="Cambria Math" w:hAnsi="Cambria Math" w:cs="Times New Roman"/>
                    <w:i/>
                  </w:rPr>
                </m:ctrlPr>
              </m:e>
              <m:sub>
                <m:r>
                  <m:rPr>
                    <m:nor/>
                  </m:rPr>
                  <w:rPr>
                    <w:rFonts w:hint="default" w:ascii="Cambria Math" w:hAnsi="Cambria Math" w:cs="Times New Roman"/>
                    <w:i/>
                  </w:rPr>
                  <m:t>FC</m:t>
                </m:r>
                <m:ctrlPr>
                  <w:rPr>
                    <w:rFonts w:hint="default" w:ascii="Cambria Math" w:hAnsi="Cambria Math" w:cs="Times New Roman"/>
                    <w:i/>
                  </w:rPr>
                </m:ctrlPr>
              </m:sub>
            </m:sSub>
            <m:r>
              <w:rPr>
                <w:rFonts w:hint="default" w:ascii="Cambria Math" w:hAnsi="Cambria Math" w:cs="Times New Roman"/>
              </w:rPr>
              <m:t>dt</m:t>
            </m:r>
            <m:ctrlPr>
              <w:rPr>
                <w:rFonts w:hint="default" w:ascii="Cambria Math" w:hAnsi="Cambria Math" w:cs="Times New Roman"/>
                <w:i/>
              </w:rPr>
            </m:ctrlPr>
          </m:e>
        </m:nary>
        <m:r>
          <m:rPr>
            <m:nor/>
            <m:sty m:val="p"/>
          </m:rPr>
          <w:rPr>
            <w:rFonts w:hint="default" w:ascii="Cambria Math" w:hAnsi="Cambria Math" w:cs="Times New Roman"/>
            <w:b w:val="0"/>
            <w:i w:val="0"/>
          </w:rPr>
          <m:t>/3600000</m:t>
        </m:r>
      </m:oMath>
      <w:r>
        <w:rPr>
          <w:rFonts w:ascii="Times New Roman" w:hAnsi="Times New Roman" w:cs="Times New Roman"/>
        </w:rPr>
        <w:tab/>
      </w:r>
      <w:r>
        <w:rPr>
          <w:rFonts w:ascii="Times New Roman" w:hAnsi="Times New Roman" w:cs="Times New Roman"/>
        </w:rPr>
        <w:t>(4)</w:t>
      </w:r>
    </w:p>
    <w:p>
      <w:pPr>
        <w:pStyle w:val="12"/>
        <w:ind w:firstLine="420"/>
        <w:rPr>
          <w:rFonts w:ascii="Times New Roman"/>
        </w:rPr>
      </w:pPr>
      <w:r>
        <w:rPr>
          <w:rFonts w:ascii="Times New Roman"/>
        </w:rPr>
        <w:t>按照公式（5）计算动力电池的净能量变化量</w:t>
      </w:r>
      <m:oMath>
        <m:sSub>
          <m:sSubPr>
            <m:ctrlPr>
              <w:rPr>
                <w:rFonts w:hint="default" w:ascii="Cambria Math" w:hAnsi="Cambria Math"/>
                <w:i/>
              </w:rPr>
            </m:ctrlPr>
          </m:sSubPr>
          <m:e>
            <m:r>
              <w:rPr>
                <w:rFonts w:hint="default" w:ascii="Cambria Math" w:hAnsi="Cambria Math"/>
              </w:rPr>
              <m:t>E</m:t>
            </m:r>
            <m:ctrlPr>
              <w:rPr>
                <w:rFonts w:hint="default" w:ascii="Cambria Math" w:hAnsi="Cambria Math"/>
                <w:i/>
              </w:rPr>
            </m:ctrlPr>
          </m:e>
          <m:sub>
            <m:r>
              <w:rPr>
                <w:rFonts w:hint="default" w:ascii="Cambria Math" w:hAnsi="Cambria Math"/>
              </w:rPr>
              <m:t>BAT</m:t>
            </m:r>
            <m:ctrlPr>
              <w:rPr>
                <w:rFonts w:hint="default" w:ascii="Cambria Math" w:hAnsi="Cambria Math"/>
                <w:i/>
              </w:rPr>
            </m:ctrlPr>
          </m:sub>
        </m:sSub>
      </m:oMath>
      <w:r>
        <w:rPr>
          <w:rFonts w:ascii="Times New Roman"/>
        </w:rPr>
        <w:t>（kWh）：</w:t>
      </w:r>
    </w:p>
    <w:p>
      <w:pPr>
        <w:pStyle w:val="23"/>
        <w:rPr>
          <w:rFonts w:ascii="Times New Roman" w:hAnsi="Times New Roman" w:cs="Times New Roman"/>
        </w:rPr>
      </w:pPr>
      <w:r>
        <w:rPr>
          <w:rFonts w:ascii="Times New Roman" w:hAnsi="Times New Roman" w:cs="Times New Roman"/>
        </w:rPr>
        <w:tab/>
      </w:r>
      <m:oMath>
        <m:sSub>
          <m:sSubPr>
            <m:ctrlPr>
              <w:rPr>
                <w:rFonts w:hint="default" w:ascii="Cambria Math" w:hAnsi="Cambria Math" w:cs="Times New Roman"/>
              </w:rPr>
            </m:ctrlPr>
          </m:sSubPr>
          <m:e>
            <m:r>
              <w:rPr>
                <w:rFonts w:hint="default" w:ascii="Cambria Math" w:hAnsi="Cambria Math" w:cs="Times New Roman"/>
              </w:rPr>
              <m:t>E</m:t>
            </m:r>
            <m:ctrlPr>
              <w:rPr>
                <w:rFonts w:hint="default" w:ascii="Cambria Math" w:hAnsi="Cambria Math" w:cs="Times New Roman"/>
              </w:rPr>
            </m:ctrlPr>
          </m:e>
          <m:sub>
            <m:r>
              <w:rPr>
                <w:rFonts w:hint="default" w:ascii="Cambria Math" w:hAnsi="Cambria Math" w:cs="Times New Roman"/>
              </w:rPr>
              <m:t>BAT</m:t>
            </m:r>
            <m:ctrlPr>
              <w:rPr>
                <w:rFonts w:hint="default" w:ascii="Cambria Math" w:hAnsi="Cambria Math" w:cs="Times New Roman"/>
              </w:rPr>
            </m:ctrlPr>
          </m:sub>
        </m:sSub>
        <m:r>
          <m:rPr>
            <m:sty m:val="p"/>
          </m:rPr>
          <w:rPr>
            <w:rFonts w:hint="default" w:ascii="Cambria Math" w:hAnsi="Cambria Math" w:cs="Times New Roman"/>
          </w:rPr>
          <m:t>=</m:t>
        </m:r>
        <m:nary>
          <m:naryPr>
            <m:chr m:val="∫"/>
            <m:ctrlPr>
              <w:rPr>
                <w:rFonts w:hint="default" w:ascii="Cambria Math" w:hAnsi="Cambria Math" w:cs="Times New Roman"/>
              </w:rPr>
            </m:ctrlPr>
          </m:naryPr>
          <m:sub>
            <m:r>
              <m:rPr>
                <m:sty m:val="p"/>
              </m:rPr>
              <w:rPr>
                <w:rFonts w:hint="default" w:ascii="Cambria Math" w:hAnsi="Cambria Math" w:cs="Times New Roman"/>
              </w:rPr>
              <m:t>0</m:t>
            </m:r>
            <m:ctrlPr>
              <w:rPr>
                <w:rFonts w:hint="default" w:ascii="Cambria Math" w:hAnsi="Cambria Math" w:cs="Times New Roman"/>
              </w:rPr>
            </m:ctrlPr>
          </m:sub>
          <m:sup>
            <m:r>
              <w:rPr>
                <w:rFonts w:hint="default" w:ascii="Cambria Math" w:hAnsi="Cambria Math" w:cs="Times New Roman"/>
              </w:rPr>
              <m:t>T</m:t>
            </m:r>
            <m:ctrlPr>
              <w:rPr>
                <w:rFonts w:hint="default" w:ascii="Cambria Math" w:hAnsi="Cambria Math" w:cs="Times New Roman"/>
              </w:rPr>
            </m:ctrlPr>
          </m:sup>
          <m:e>
            <m:sSub>
              <m:sSubPr>
                <m:ctrlPr>
                  <w:rPr>
                    <w:rFonts w:hint="default" w:ascii="Cambria Math" w:hAnsi="Cambria Math" w:cs="Times New Roman"/>
                  </w:rPr>
                </m:ctrlPr>
              </m:sSubPr>
              <m:e>
                <m:r>
                  <w:rPr>
                    <w:rFonts w:hint="default" w:ascii="Cambria Math" w:hAnsi="Cambria Math" w:cs="Times New Roman"/>
                  </w:rPr>
                  <m:t>I</m:t>
                </m:r>
                <m:ctrlPr>
                  <w:rPr>
                    <w:rFonts w:hint="default" w:ascii="Cambria Math" w:hAnsi="Cambria Math" w:cs="Times New Roman"/>
                  </w:rPr>
                </m:ctrlPr>
              </m:e>
              <m:sub>
                <m:r>
                  <w:rPr>
                    <w:rFonts w:hint="default" w:ascii="Cambria Math" w:hAnsi="Cambria Math" w:cs="Times New Roman"/>
                  </w:rPr>
                  <m:t>BAT</m:t>
                </m:r>
                <m:ctrlPr>
                  <w:rPr>
                    <w:rFonts w:hint="default" w:ascii="Cambria Math" w:hAnsi="Cambria Math" w:cs="Times New Roman"/>
                  </w:rPr>
                </m:ctrlPr>
              </m:sub>
            </m:sSub>
            <m:sSub>
              <m:sSubPr>
                <m:ctrlPr>
                  <w:rPr>
                    <w:rFonts w:hint="default" w:ascii="Cambria Math" w:hAnsi="Cambria Math" w:cs="Times New Roman"/>
                  </w:rPr>
                </m:ctrlPr>
              </m:sSubPr>
              <m:e>
                <m:r>
                  <w:rPr>
                    <w:rFonts w:hint="default" w:ascii="Cambria Math" w:hAnsi="Cambria Math" w:cs="Times New Roman"/>
                  </w:rPr>
                  <m:t>U</m:t>
                </m:r>
                <m:ctrlPr>
                  <w:rPr>
                    <w:rFonts w:hint="default" w:ascii="Cambria Math" w:hAnsi="Cambria Math" w:cs="Times New Roman"/>
                  </w:rPr>
                </m:ctrlPr>
              </m:e>
              <m:sub>
                <m:r>
                  <w:rPr>
                    <w:rFonts w:hint="default" w:ascii="Cambria Math" w:hAnsi="Cambria Math" w:cs="Times New Roman"/>
                  </w:rPr>
                  <m:t>BAT</m:t>
                </m:r>
                <m:ctrlPr>
                  <w:rPr>
                    <w:rFonts w:hint="default" w:ascii="Cambria Math" w:hAnsi="Cambria Math" w:cs="Times New Roman"/>
                  </w:rPr>
                </m:ctrlPr>
              </m:sub>
            </m:sSub>
            <m:r>
              <w:rPr>
                <w:rFonts w:hint="default" w:ascii="Cambria Math" w:hAnsi="Cambria Math" w:cs="Times New Roman"/>
              </w:rPr>
              <m:t>dt</m:t>
            </m:r>
            <m:ctrlPr>
              <w:rPr>
                <w:rFonts w:hint="default" w:ascii="Cambria Math" w:hAnsi="Cambria Math" w:cs="Times New Roman"/>
              </w:rPr>
            </m:ctrlPr>
          </m:e>
        </m:nary>
        <m:r>
          <m:rPr>
            <m:nor/>
            <m:sty m:val="p"/>
          </m:rPr>
          <w:rPr>
            <w:rFonts w:hint="default" w:ascii="Cambria Math" w:hAnsi="Cambria Math" w:cs="Times New Roman"/>
            <w:b w:val="0"/>
            <w:i w:val="0"/>
          </w:rPr>
          <m:t>/3600000</m:t>
        </m:r>
      </m:oMath>
      <w:r>
        <w:rPr>
          <w:rFonts w:ascii="Times New Roman" w:hAnsi="Times New Roman" w:cs="Times New Roman"/>
        </w:rPr>
        <w:tab/>
      </w:r>
      <w:r>
        <w:rPr>
          <w:rFonts w:ascii="Times New Roman" w:hAnsi="Times New Roman" w:cs="Times New Roman"/>
        </w:rPr>
        <w:t>(5)</w:t>
      </w:r>
    </w:p>
    <w:p>
      <w:pPr>
        <w:pStyle w:val="20"/>
        <w:rPr>
          <w:rFonts w:ascii="Times New Roman"/>
        </w:rPr>
      </w:pPr>
      <w:r>
        <w:rPr>
          <w:rFonts w:ascii="Times New Roman"/>
        </w:rPr>
        <w:t xml:space="preserve">满足下列两个条件之一即应停止试验。达到试验结束条件时，挡位保持不变，使车辆滑行至最低稳定车速或5km/h，再踩下制动踏板进行停车。 </w:t>
      </w:r>
    </w:p>
    <w:p>
      <w:pPr>
        <w:pStyle w:val="15"/>
        <w:numPr>
          <w:ilvl w:val="0"/>
          <w:numId w:val="11"/>
        </w:numPr>
        <w:rPr>
          <w:rFonts w:ascii="Times New Roman"/>
        </w:rPr>
      </w:pPr>
      <w:r>
        <w:rPr>
          <w:rFonts w:ascii="Times New Roman"/>
        </w:rPr>
        <w:t>当仪表给出停车指示时；</w:t>
      </w:r>
    </w:p>
    <w:p>
      <w:pPr>
        <w:pStyle w:val="15"/>
        <w:rPr>
          <w:rFonts w:ascii="Times New Roman"/>
        </w:rPr>
      </w:pPr>
      <w:r>
        <w:rPr>
          <w:rFonts w:ascii="Times New Roman"/>
        </w:rPr>
        <w:t>试验循环中车辆的速度公差和时间公差不满足要求。</w:t>
      </w:r>
    </w:p>
    <w:p>
      <w:pPr>
        <w:pStyle w:val="24"/>
        <w:numPr>
          <w:ilvl w:val="0"/>
          <w:numId w:val="12"/>
        </w:numPr>
        <w:ind w:left="851"/>
        <w:rPr>
          <w:rFonts w:ascii="Times New Roman"/>
        </w:rPr>
      </w:pPr>
      <w:r>
        <w:rPr>
          <w:rFonts w:hint="eastAsia" w:ascii="Times New Roman"/>
        </w:rPr>
        <w:t>M</w:t>
      </w:r>
      <w:r>
        <w:rPr>
          <w:rFonts w:hint="eastAsia" w:ascii="Times New Roman"/>
          <w:vertAlign w:val="subscript"/>
        </w:rPr>
        <w:t>1</w:t>
      </w:r>
      <w:r>
        <w:rPr>
          <w:rFonts w:hint="eastAsia" w:ascii="Times New Roman"/>
        </w:rPr>
        <w:t>、N</w:t>
      </w:r>
      <w:r>
        <w:rPr>
          <w:rFonts w:hint="eastAsia" w:ascii="Times New Roman"/>
          <w:vertAlign w:val="subscript"/>
        </w:rPr>
        <w:t>1</w:t>
      </w:r>
      <w:r>
        <w:rPr>
          <w:rFonts w:hint="eastAsia" w:ascii="Times New Roman"/>
        </w:rPr>
        <w:t>类车辆和最大设计总质量不超过3500kg的M</w:t>
      </w:r>
      <w:r>
        <w:rPr>
          <w:rFonts w:hint="eastAsia" w:ascii="Times New Roman"/>
          <w:vertAlign w:val="subscript"/>
        </w:rPr>
        <w:t>2</w:t>
      </w:r>
      <w:r>
        <w:rPr>
          <w:rFonts w:hint="eastAsia" w:ascii="Times New Roman"/>
        </w:rPr>
        <w:t>类车辆</w:t>
      </w:r>
      <w:r>
        <w:rPr>
          <w:rFonts w:ascii="Times New Roman"/>
        </w:rPr>
        <w:t>应满足GB 18352.6-2016附录C.1.2.6.6的规定，若车辆申报的最高车速小于CLTC的最高车速，对于超过车辆申报最高车速的部分，按照GB 18352.6-2016附件CA.5的规定对试验循环进行修正，此时要求驾驶员将加速踏板踩到底，允许车辆实际车速超过GB 18352.6-2016附录C.1.2.6.6的规定的公差上限，但不能超过公差下限。</w:t>
      </w:r>
    </w:p>
    <w:p>
      <w:pPr>
        <w:pStyle w:val="24"/>
        <w:numPr>
          <w:ilvl w:val="0"/>
          <w:numId w:val="12"/>
        </w:numPr>
        <w:ind w:left="851"/>
        <w:rPr>
          <w:rFonts w:ascii="Times New Roman"/>
        </w:rPr>
      </w:pPr>
      <w:r>
        <w:rPr>
          <w:rFonts w:ascii="Times New Roman"/>
        </w:rPr>
        <w:t>其他类型车辆应满足GB/T 27840-2011中5.5.1的规定，若车辆申报的最高车速小于C</w:t>
      </w:r>
      <w:r>
        <w:rPr>
          <w:rFonts w:hint="eastAsia" w:ascii="Times New Roman"/>
        </w:rPr>
        <w:t>H</w:t>
      </w:r>
      <w:r>
        <w:rPr>
          <w:rFonts w:ascii="Times New Roman"/>
        </w:rPr>
        <w:t>TC的最高车速，对于超过车辆申报最高车速的部分，按照GB 18352.6-2016附件CA.5的规定对试验循环进行修正，此时要求驾驶员将加速踏板踩到底，允许车辆实际车速超过GB/T 27840-2011中5.5.1的规定公差上限，但不能超过公差下限。</w:t>
      </w:r>
    </w:p>
    <w:p>
      <w:pPr>
        <w:pStyle w:val="20"/>
        <w:rPr>
          <w:rFonts w:ascii="Times New Roman"/>
        </w:rPr>
      </w:pPr>
      <w:r>
        <w:rPr>
          <w:rFonts w:ascii="Times New Roman"/>
        </w:rPr>
        <w:t>试验结束后，记录试验车辆行驶的距离D，单位为km，测量值按四舍五入圆整到整数，该距离即为车辆的续驶里程。按照公式（6）计算车辆的纯氢</w:t>
      </w:r>
      <w:r>
        <w:rPr>
          <w:rFonts w:hint="eastAsia" w:ascii="Times New Roman"/>
          <w:lang w:eastAsia="zh-CN"/>
        </w:rPr>
        <w:t>续</w:t>
      </w:r>
      <w:r>
        <w:rPr>
          <w:rFonts w:ascii="Times New Roman"/>
        </w:rPr>
        <w:t>驶里程</w:t>
      </w:r>
      <w:r>
        <w:rPr>
          <w:rFonts w:ascii="Times New Roman"/>
          <w:i/>
          <w:iCs/>
        </w:rPr>
        <w:t>D</w:t>
      </w:r>
      <w:r>
        <w:rPr>
          <w:rFonts w:ascii="Times New Roman"/>
          <w:i/>
          <w:iCs/>
          <w:vertAlign w:val="subscript"/>
        </w:rPr>
        <w:t>FC</w:t>
      </w:r>
      <w:r>
        <w:rPr>
          <w:rFonts w:ascii="Times New Roman"/>
        </w:rPr>
        <w:t>（km）：</w:t>
      </w:r>
    </w:p>
    <w:p>
      <w:pPr>
        <w:pStyle w:val="23"/>
        <w:rPr>
          <w:rFonts w:ascii="Times New Roman" w:hAnsi="Times New Roman" w:cs="Times New Roman"/>
        </w:rPr>
      </w:pPr>
      <w:r>
        <w:rPr>
          <w:rFonts w:ascii="Times New Roman" w:hAnsi="Times New Roman" w:eastAsia="宋体" w:cs="Times New Roman"/>
        </w:rPr>
        <w:tab/>
      </w:r>
      <m:oMath>
        <m:sSub>
          <m:sSubPr>
            <m:ctrlPr>
              <w:rPr>
                <w:rFonts w:hint="default" w:ascii="Cambria Math" w:hAnsi="Cambria Math" w:cs="Times New Roman"/>
              </w:rPr>
            </m:ctrlPr>
          </m:sSubPr>
          <m:e>
            <m:r>
              <w:rPr>
                <w:rFonts w:hint="default" w:ascii="Cambria Math" w:hAnsi="Cambria Math" w:cs="Times New Roman"/>
              </w:rPr>
              <m:t>D</m:t>
            </m:r>
            <m:ctrlPr>
              <w:rPr>
                <w:rFonts w:hint="default" w:ascii="Cambria Math" w:hAnsi="Cambria Math" w:cs="Times New Roman"/>
              </w:rPr>
            </m:ctrlPr>
          </m:e>
          <m:sub>
            <m:r>
              <w:rPr>
                <w:rFonts w:hint="default" w:ascii="Cambria Math" w:hAnsi="Cambria Math" w:cs="Times New Roman"/>
              </w:rPr>
              <m:t>F</m:t>
            </m:r>
            <m:r>
              <w:rPr>
                <w:rFonts w:hint="default" w:ascii="Cambria Math" w:hAnsi="Cambria Math" w:cs="Times New Roman"/>
                <w:lang w:val="en-US" w:eastAsia="zh-CN"/>
              </w:rPr>
              <m:t>C</m:t>
            </m:r>
            <m:ctrlPr>
              <w:rPr>
                <w:rFonts w:hint="default" w:ascii="Cambria Math" w:hAnsi="Cambria Math" w:cs="Times New Roman"/>
              </w:rPr>
            </m:ctrlPr>
          </m:sub>
        </m:sSub>
        <m:r>
          <m:rPr>
            <m:sty m:val="p"/>
          </m:rPr>
          <w:rPr>
            <w:rFonts w:hint="default" w:ascii="Cambria Math" w:hAnsi="Cambria Math" w:cs="Times New Roman"/>
          </w:rPr>
          <m:t>=</m:t>
        </m:r>
        <m:r>
          <w:rPr>
            <w:rFonts w:hint="default" w:ascii="Cambria Math" w:hAnsi="Cambria Math" w:cs="Times New Roman"/>
          </w:rPr>
          <m:t>D</m:t>
        </m:r>
        <m:r>
          <m:rPr>
            <m:sty m:val="p"/>
          </m:rPr>
          <w:rPr>
            <w:rFonts w:hint="default" w:ascii="Cambria Math" w:hAnsi="Cambria Math" w:eastAsia="MS Mincho" w:cs="Times New Roman"/>
          </w:rPr>
          <m:t>⋅</m:t>
        </m:r>
        <m:f>
          <m:fPr>
            <m:ctrlPr>
              <w:rPr>
                <w:rFonts w:hint="default" w:ascii="Cambria Math" w:hAnsi="Cambria Math" w:cs="Times New Roman"/>
              </w:rPr>
            </m:ctrlPr>
          </m:fPr>
          <m:num>
            <m:sSub>
              <m:sSubPr>
                <m:ctrlPr>
                  <w:rPr>
                    <w:rFonts w:hint="default" w:ascii="Cambria Math" w:hAnsi="Cambria Math" w:cs="Times New Roman"/>
                  </w:rPr>
                </m:ctrlPr>
              </m:sSubPr>
              <m:e>
                <m:r>
                  <w:rPr>
                    <w:rFonts w:hint="default" w:ascii="Cambria Math" w:hAnsi="Cambria Math" w:cs="Times New Roman"/>
                  </w:rPr>
                  <m:t>E</m:t>
                </m:r>
                <m:ctrlPr>
                  <w:rPr>
                    <w:rFonts w:hint="default" w:ascii="Cambria Math" w:hAnsi="Cambria Math" w:cs="Times New Roman"/>
                  </w:rPr>
                </m:ctrlPr>
              </m:e>
              <m:sub>
                <m:r>
                  <w:rPr>
                    <w:rFonts w:hint="default" w:ascii="Cambria Math" w:hAnsi="Cambria Math" w:cs="Times New Roman"/>
                  </w:rPr>
                  <m:t>FC</m:t>
                </m:r>
                <m:ctrlPr>
                  <w:rPr>
                    <w:rFonts w:hint="default" w:ascii="Cambria Math" w:hAnsi="Cambria Math" w:cs="Times New Roman"/>
                  </w:rPr>
                </m:ctrlPr>
              </m:sub>
            </m:sSub>
            <m:ctrlPr>
              <w:rPr>
                <w:rFonts w:hint="default" w:ascii="Cambria Math" w:hAnsi="Cambria Math" w:cs="Times New Roman"/>
              </w:rPr>
            </m:ctrlPr>
          </m:num>
          <m:den>
            <m:sSub>
              <m:sSubPr>
                <m:ctrlPr>
                  <w:rPr>
                    <w:rFonts w:hint="default" w:ascii="Cambria Math" w:hAnsi="Cambria Math" w:cs="Times New Roman"/>
                  </w:rPr>
                </m:ctrlPr>
              </m:sSubPr>
              <m:e>
                <m:r>
                  <w:rPr>
                    <w:rFonts w:hint="default" w:ascii="Cambria Math" w:hAnsi="Cambria Math" w:cs="Times New Roman"/>
                  </w:rPr>
                  <m:t>E</m:t>
                </m:r>
                <m:ctrlPr>
                  <w:rPr>
                    <w:rFonts w:hint="default" w:ascii="Cambria Math" w:hAnsi="Cambria Math" w:cs="Times New Roman"/>
                  </w:rPr>
                </m:ctrlPr>
              </m:e>
              <m:sub>
                <m:r>
                  <w:rPr>
                    <w:rFonts w:hint="default" w:ascii="Cambria Math" w:hAnsi="Cambria Math" w:cs="Times New Roman"/>
                  </w:rPr>
                  <m:t>FC</m:t>
                </m:r>
                <m:ctrlPr>
                  <w:rPr>
                    <w:rFonts w:hint="default" w:ascii="Cambria Math" w:hAnsi="Cambria Math" w:cs="Times New Roman"/>
                  </w:rPr>
                </m:ctrlPr>
              </m:sub>
            </m:sSub>
            <m:r>
              <m:rPr>
                <m:sty m:val="p"/>
              </m:rPr>
              <w:rPr>
                <w:rFonts w:hint="default" w:ascii="Cambria Math" w:hAnsi="Cambria Math" w:cs="Times New Roman"/>
              </w:rPr>
              <m:t>+</m:t>
            </m:r>
            <m:sSub>
              <m:sSubPr>
                <m:ctrlPr>
                  <w:rPr>
                    <w:rFonts w:hint="default" w:ascii="Cambria Math" w:hAnsi="Cambria Math" w:cs="Times New Roman"/>
                  </w:rPr>
                </m:ctrlPr>
              </m:sSubPr>
              <m:e>
                <m:r>
                  <w:rPr>
                    <w:rFonts w:hint="default" w:ascii="Cambria Math" w:hAnsi="Cambria Math" w:cs="Times New Roman"/>
                  </w:rPr>
                  <m:t>E</m:t>
                </m:r>
                <m:ctrlPr>
                  <w:rPr>
                    <w:rFonts w:hint="default" w:ascii="Cambria Math" w:hAnsi="Cambria Math" w:cs="Times New Roman"/>
                  </w:rPr>
                </m:ctrlPr>
              </m:e>
              <m:sub>
                <m:r>
                  <w:rPr>
                    <w:rFonts w:hint="default" w:ascii="Cambria Math" w:hAnsi="Cambria Math" w:cs="Times New Roman"/>
                  </w:rPr>
                  <m:t>BAT</m:t>
                </m:r>
                <m:ctrlPr>
                  <w:rPr>
                    <w:rFonts w:hint="default" w:ascii="Cambria Math" w:hAnsi="Cambria Math" w:cs="Times New Roman"/>
                  </w:rPr>
                </m:ctrlPr>
              </m:sub>
            </m:sSub>
            <m:ctrlPr>
              <w:rPr>
                <w:rFonts w:hint="default" w:ascii="Cambria Math" w:hAnsi="Cambria Math" w:cs="Times New Roman"/>
              </w:rPr>
            </m:ctrlPr>
          </m:den>
        </m:f>
      </m:oMath>
      <w:r>
        <w:rPr>
          <w:rFonts w:ascii="Times New Roman" w:hAnsi="Times New Roman" w:eastAsia="宋体" w:cs="Times New Roman"/>
        </w:rPr>
        <w:tab/>
      </w:r>
      <w:r>
        <w:rPr>
          <w:rFonts w:ascii="Times New Roman" w:hAnsi="Times New Roman" w:eastAsia="宋体" w:cs="Times New Roman"/>
        </w:rPr>
        <w:t>(</w:t>
      </w:r>
      <w:r>
        <w:rPr>
          <w:rFonts w:ascii="Times New Roman" w:hAnsi="Times New Roman" w:cs="Times New Roman"/>
        </w:rPr>
        <w:t>6</w:t>
      </w:r>
      <w:r>
        <w:rPr>
          <w:rFonts w:ascii="Times New Roman" w:hAnsi="Times New Roman" w:eastAsia="宋体" w:cs="Times New Roman"/>
        </w:rPr>
        <w:t>)</w:t>
      </w:r>
    </w:p>
    <w:p>
      <w:pPr>
        <w:pStyle w:val="13"/>
        <w:rPr>
          <w:rFonts w:ascii="Times New Roman"/>
        </w:rPr>
      </w:pPr>
      <w:r>
        <w:rPr>
          <w:rFonts w:ascii="Times New Roman"/>
        </w:rPr>
        <w:t>数据记录</w:t>
      </w:r>
    </w:p>
    <w:p>
      <w:pPr>
        <w:pStyle w:val="12"/>
        <w:ind w:firstLine="420"/>
        <w:rPr>
          <w:rFonts w:ascii="Times New Roman"/>
        </w:rPr>
      </w:pPr>
      <w:r>
        <w:rPr>
          <w:rFonts w:ascii="Times New Roman"/>
        </w:rPr>
        <w:t>从整车起动开始采样，直至试验结束，总采样时间为T（s），采集参数包括：</w:t>
      </w:r>
    </w:p>
    <w:p>
      <w:pPr>
        <w:pStyle w:val="15"/>
        <w:numPr>
          <w:ilvl w:val="0"/>
          <w:numId w:val="13"/>
        </w:numPr>
        <w:spacing w:before="78" w:after="78"/>
        <w:rPr>
          <w:rFonts w:ascii="Times New Roman"/>
        </w:rPr>
      </w:pPr>
      <w:r>
        <w:rPr>
          <w:rFonts w:ascii="Times New Roman"/>
        </w:rPr>
        <w:t>燃料电池堆电压</w:t>
      </w:r>
      <w:r>
        <w:rPr>
          <w:rFonts w:ascii="Times New Roman"/>
          <w:i/>
        </w:rPr>
        <w:t>U</w:t>
      </w:r>
      <w:r>
        <w:rPr>
          <w:rFonts w:ascii="Times New Roman"/>
          <w:vertAlign w:val="subscript"/>
        </w:rPr>
        <w:t>FC</w:t>
      </w:r>
      <w:r>
        <w:rPr>
          <w:rFonts w:ascii="Times New Roman"/>
        </w:rPr>
        <w:t>（V）；</w:t>
      </w:r>
    </w:p>
    <w:p>
      <w:pPr>
        <w:pStyle w:val="15"/>
        <w:spacing w:before="78" w:after="78"/>
        <w:rPr>
          <w:rFonts w:ascii="Times New Roman"/>
        </w:rPr>
      </w:pPr>
      <w:r>
        <w:rPr>
          <w:rFonts w:ascii="Times New Roman"/>
        </w:rPr>
        <w:t>燃料电池堆电流</w:t>
      </w:r>
      <w:r>
        <w:rPr>
          <w:rFonts w:ascii="Times New Roman"/>
          <w:i/>
        </w:rPr>
        <w:t>I</w:t>
      </w:r>
      <w:r>
        <w:rPr>
          <w:rFonts w:ascii="Times New Roman"/>
          <w:vertAlign w:val="subscript"/>
        </w:rPr>
        <w:t>FC</w:t>
      </w:r>
      <w:r>
        <w:rPr>
          <w:rFonts w:ascii="Times New Roman"/>
        </w:rPr>
        <w:t>（A）；</w:t>
      </w:r>
    </w:p>
    <w:p>
      <w:pPr>
        <w:pStyle w:val="15"/>
        <w:spacing w:before="78" w:after="78"/>
        <w:rPr>
          <w:rFonts w:ascii="Times New Roman"/>
        </w:rPr>
      </w:pPr>
      <w:r>
        <w:rPr>
          <w:rFonts w:ascii="Times New Roman"/>
        </w:rPr>
        <w:t>动力电池电压</w:t>
      </w:r>
      <w:r>
        <w:rPr>
          <w:rFonts w:ascii="Times New Roman"/>
          <w:i/>
        </w:rPr>
        <w:t>U</w:t>
      </w:r>
      <w:r>
        <w:rPr>
          <w:rFonts w:ascii="Times New Roman"/>
          <w:vertAlign w:val="subscript"/>
        </w:rPr>
        <w:t>BAT</w:t>
      </w:r>
      <w:r>
        <w:rPr>
          <w:rFonts w:ascii="Times New Roman"/>
        </w:rPr>
        <w:t>（V）；</w:t>
      </w:r>
    </w:p>
    <w:p>
      <w:pPr>
        <w:pStyle w:val="15"/>
        <w:spacing w:before="78" w:after="78"/>
        <w:rPr>
          <w:rFonts w:hint="eastAsia" w:ascii="仿宋_GB2312" w:hAnsi="仿宋_GB2312" w:eastAsia="仿宋_GB2312" w:cs="仿宋_GB2312"/>
          <w:b w:val="0"/>
          <w:bCs w:val="0"/>
          <w:i w:val="0"/>
          <w:caps w:val="0"/>
          <w:color w:val="333333"/>
          <w:spacing w:val="0"/>
          <w:kern w:val="0"/>
          <w:sz w:val="32"/>
          <w:szCs w:val="32"/>
          <w:lang w:val="en-US" w:eastAsia="zh-CN" w:bidi="ar"/>
        </w:rPr>
      </w:pPr>
      <w:r>
        <w:rPr>
          <w:rFonts w:ascii="Times New Roman"/>
        </w:rPr>
        <w:t>动力电池电流</w:t>
      </w:r>
      <w:r>
        <w:rPr>
          <w:rFonts w:ascii="Times New Roman"/>
          <w:i/>
        </w:rPr>
        <w:t>I</w:t>
      </w:r>
      <w:r>
        <w:rPr>
          <w:rFonts w:ascii="Times New Roman"/>
          <w:vertAlign w:val="subscript"/>
        </w:rPr>
        <w:t>BAT</w:t>
      </w:r>
      <w:r>
        <w:rPr>
          <w:rFonts w:ascii="Times New Roman"/>
        </w:rPr>
        <w:t>（A）</w:t>
      </w:r>
      <w:r>
        <w:rPr>
          <w:rFonts w:hint="eastAsia" w:ascii="Times New Roman"/>
        </w:rPr>
        <w:t>。</w:t>
      </w:r>
      <w:bookmarkStart w:id="1" w:name="_GoBack"/>
      <w:bookmarkEnd w:id="1"/>
    </w:p>
    <w:sectPr>
      <w:pgSz w:w="11906" w:h="16838"/>
      <w:pgMar w:top="1928" w:right="1474" w:bottom="1814" w:left="1474"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24"/>
      <w:suff w:val="nothing"/>
      <w:lvlText w:val="注%1："/>
      <w:lvlJc w:val="left"/>
      <w:pPr>
        <w:ind w:left="2150" w:hanging="448"/>
      </w:pPr>
      <w:rPr>
        <w:rFonts w:ascii="黑体" w:hAnsi="黑体" w:eastAsia="黑体" w:cs="Times New Roman"/>
        <w:b w:val="0"/>
        <w:bCs w:val="0"/>
        <w:i w:val="0"/>
        <w:iCs w:val="0"/>
        <w:caps w:val="0"/>
        <w:smallCaps w:val="0"/>
        <w:strike w:val="0"/>
        <w:dstrike w:val="0"/>
        <w:vanish w:val="0"/>
        <w:spacing w:val="0"/>
        <w:position w:val="0"/>
        <w:u w:val="none"/>
        <w:vertAlign w:val="baseline"/>
        <w:lang w:val="en-US"/>
      </w:rPr>
    </w:lvl>
    <w:lvl w:ilvl="1" w:tentative="0">
      <w:start w:val="1"/>
      <w:numFmt w:val="lowerLetter"/>
      <w:lvlText w:val="%2)"/>
      <w:lvlJc w:val="left"/>
      <w:pPr>
        <w:tabs>
          <w:tab w:val="left" w:pos="142"/>
        </w:tabs>
        <w:ind w:left="1134" w:hanging="629"/>
      </w:pPr>
      <w:rPr>
        <w:rFonts w:hint="eastAsia"/>
      </w:rPr>
    </w:lvl>
    <w:lvl w:ilvl="2" w:tentative="0">
      <w:start w:val="1"/>
      <w:numFmt w:val="lowerRoman"/>
      <w:lvlText w:val="%3."/>
      <w:lvlJc w:val="right"/>
      <w:pPr>
        <w:tabs>
          <w:tab w:val="left" w:pos="142"/>
        </w:tabs>
        <w:ind w:left="1134" w:hanging="629"/>
      </w:pPr>
      <w:rPr>
        <w:rFonts w:hint="eastAsia"/>
      </w:rPr>
    </w:lvl>
    <w:lvl w:ilvl="3" w:tentative="0">
      <w:start w:val="1"/>
      <w:numFmt w:val="decimal"/>
      <w:lvlText w:val="%4."/>
      <w:lvlJc w:val="left"/>
      <w:pPr>
        <w:tabs>
          <w:tab w:val="left" w:pos="142"/>
        </w:tabs>
        <w:ind w:left="1134" w:hanging="629"/>
      </w:pPr>
      <w:rPr>
        <w:rFonts w:hint="eastAsia"/>
      </w:rPr>
    </w:lvl>
    <w:lvl w:ilvl="4" w:tentative="0">
      <w:start w:val="1"/>
      <w:numFmt w:val="lowerLetter"/>
      <w:lvlText w:val="%5)"/>
      <w:lvlJc w:val="left"/>
      <w:pPr>
        <w:tabs>
          <w:tab w:val="left" w:pos="142"/>
        </w:tabs>
        <w:ind w:left="1134" w:hanging="629"/>
      </w:pPr>
      <w:rPr>
        <w:rFonts w:hint="eastAsia"/>
      </w:rPr>
    </w:lvl>
    <w:lvl w:ilvl="5" w:tentative="0">
      <w:start w:val="1"/>
      <w:numFmt w:val="lowerRoman"/>
      <w:lvlText w:val="%6."/>
      <w:lvlJc w:val="right"/>
      <w:pPr>
        <w:tabs>
          <w:tab w:val="left" w:pos="142"/>
        </w:tabs>
        <w:ind w:left="1134" w:hanging="629"/>
      </w:pPr>
      <w:rPr>
        <w:rFonts w:hint="eastAsia"/>
      </w:rPr>
    </w:lvl>
    <w:lvl w:ilvl="6" w:tentative="0">
      <w:start w:val="1"/>
      <w:numFmt w:val="decimal"/>
      <w:lvlText w:val="%7."/>
      <w:lvlJc w:val="left"/>
      <w:pPr>
        <w:tabs>
          <w:tab w:val="left" w:pos="142"/>
        </w:tabs>
        <w:ind w:left="1134" w:hanging="629"/>
      </w:pPr>
      <w:rPr>
        <w:rFonts w:hint="eastAsia"/>
      </w:rPr>
    </w:lvl>
    <w:lvl w:ilvl="7" w:tentative="0">
      <w:start w:val="1"/>
      <w:numFmt w:val="lowerLetter"/>
      <w:lvlText w:val="%8)"/>
      <w:lvlJc w:val="left"/>
      <w:pPr>
        <w:tabs>
          <w:tab w:val="left" w:pos="142"/>
        </w:tabs>
        <w:ind w:left="1134" w:hanging="629"/>
      </w:pPr>
      <w:rPr>
        <w:rFonts w:hint="eastAsia"/>
      </w:rPr>
    </w:lvl>
    <w:lvl w:ilvl="8" w:tentative="0">
      <w:start w:val="1"/>
      <w:numFmt w:val="lowerRoman"/>
      <w:lvlText w:val="%9."/>
      <w:lvlJc w:val="right"/>
      <w:pPr>
        <w:tabs>
          <w:tab w:val="left" w:pos="142"/>
        </w:tabs>
        <w:ind w:left="1134" w:hanging="629"/>
      </w:pPr>
      <w:rPr>
        <w:rFonts w:hint="eastAsia"/>
      </w:rPr>
    </w:lvl>
  </w:abstractNum>
  <w:abstractNum w:abstractNumId="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2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spacing w:val="0"/>
        <w:w w:val="100"/>
        <w:kern w:val="0"/>
        <w:position w:val="0"/>
        <w:sz w:val="21"/>
        <w:u w:val="none"/>
        <w:vertAlign w:val="baseline"/>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2">
    <w:nsid w:val="1FC91163"/>
    <w:multiLevelType w:val="multilevel"/>
    <w:tmpl w:val="1FC91163"/>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44C50F90"/>
    <w:multiLevelType w:val="multilevel"/>
    <w:tmpl w:val="44C50F90"/>
    <w:lvl w:ilvl="0" w:tentative="0">
      <w:start w:val="1"/>
      <w:numFmt w:val="lowerLetter"/>
      <w:pStyle w:val="15"/>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20E198A"/>
    <w:multiLevelType w:val="multilevel"/>
    <w:tmpl w:val="520E198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5E02EF4"/>
    <w:multiLevelType w:val="multilevel"/>
    <w:tmpl w:val="55E02EF4"/>
    <w:lvl w:ilvl="0" w:tentative="0">
      <w:start w:val="1"/>
      <w:numFmt w:val="decimal"/>
      <w:pStyle w:val="2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DBF04F4"/>
    <w:multiLevelType w:val="multilevel"/>
    <w:tmpl w:val="6DBF04F4"/>
    <w:lvl w:ilvl="0" w:tentative="0">
      <w:start w:val="1"/>
      <w:numFmt w:val="none"/>
      <w:pStyle w:val="25"/>
      <w:suff w:val="nothing"/>
      <w:lvlText w:val="%1注："/>
      <w:lvlJc w:val="left"/>
      <w:pPr>
        <w:ind w:left="70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4F88"/>
    <w:rsid w:val="01E425D7"/>
    <w:rsid w:val="02D62354"/>
    <w:rsid w:val="052C01E2"/>
    <w:rsid w:val="074D685D"/>
    <w:rsid w:val="07942310"/>
    <w:rsid w:val="0A0C39E4"/>
    <w:rsid w:val="0AA72418"/>
    <w:rsid w:val="10384F36"/>
    <w:rsid w:val="11911C69"/>
    <w:rsid w:val="12141F8B"/>
    <w:rsid w:val="12501E41"/>
    <w:rsid w:val="156D628D"/>
    <w:rsid w:val="160F69F3"/>
    <w:rsid w:val="17BF0F3B"/>
    <w:rsid w:val="17CD4DAA"/>
    <w:rsid w:val="188A6DF5"/>
    <w:rsid w:val="19B70D34"/>
    <w:rsid w:val="1A3667C5"/>
    <w:rsid w:val="1BCC3777"/>
    <w:rsid w:val="1EB778A9"/>
    <w:rsid w:val="1FF25BE4"/>
    <w:rsid w:val="25266552"/>
    <w:rsid w:val="268E0DE1"/>
    <w:rsid w:val="28797726"/>
    <w:rsid w:val="2CD3607C"/>
    <w:rsid w:val="2DD309D1"/>
    <w:rsid w:val="2E4D59C0"/>
    <w:rsid w:val="2FD8173E"/>
    <w:rsid w:val="300C30CE"/>
    <w:rsid w:val="30D62591"/>
    <w:rsid w:val="3116484C"/>
    <w:rsid w:val="33F926FC"/>
    <w:rsid w:val="34AE4B9A"/>
    <w:rsid w:val="35684ED8"/>
    <w:rsid w:val="35E43B00"/>
    <w:rsid w:val="372A5A2E"/>
    <w:rsid w:val="3B1720FE"/>
    <w:rsid w:val="3BC639DB"/>
    <w:rsid w:val="424119DD"/>
    <w:rsid w:val="44E240D4"/>
    <w:rsid w:val="455E644B"/>
    <w:rsid w:val="458A2617"/>
    <w:rsid w:val="45D452B0"/>
    <w:rsid w:val="485E6E26"/>
    <w:rsid w:val="48B94AC0"/>
    <w:rsid w:val="4A0D6DB6"/>
    <w:rsid w:val="4DAC3C0A"/>
    <w:rsid w:val="4DCA4BD4"/>
    <w:rsid w:val="4E362E25"/>
    <w:rsid w:val="52F35FD4"/>
    <w:rsid w:val="53076634"/>
    <w:rsid w:val="53170D93"/>
    <w:rsid w:val="53B31CAD"/>
    <w:rsid w:val="54FD6CFC"/>
    <w:rsid w:val="555A4447"/>
    <w:rsid w:val="56FB4021"/>
    <w:rsid w:val="585648B5"/>
    <w:rsid w:val="58E42B28"/>
    <w:rsid w:val="5A302113"/>
    <w:rsid w:val="5C3C74BD"/>
    <w:rsid w:val="5D93368C"/>
    <w:rsid w:val="5E527E60"/>
    <w:rsid w:val="611805E5"/>
    <w:rsid w:val="614E41B3"/>
    <w:rsid w:val="624D3A59"/>
    <w:rsid w:val="62986D2A"/>
    <w:rsid w:val="633559CB"/>
    <w:rsid w:val="647F21F7"/>
    <w:rsid w:val="653B77F7"/>
    <w:rsid w:val="68BB5A5F"/>
    <w:rsid w:val="69A32446"/>
    <w:rsid w:val="6B112364"/>
    <w:rsid w:val="6B8E187D"/>
    <w:rsid w:val="6D001500"/>
    <w:rsid w:val="6FF55B05"/>
    <w:rsid w:val="749230CB"/>
    <w:rsid w:val="7751744F"/>
    <w:rsid w:val="779C542A"/>
    <w:rsid w:val="77A31C96"/>
    <w:rsid w:val="79F47C13"/>
    <w:rsid w:val="7BF17053"/>
    <w:rsid w:val="7C3611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Salutation"/>
    <w:basedOn w:val="1"/>
    <w:next w:val="1"/>
    <w:qFormat/>
    <w:uiPriority w:val="99"/>
  </w:style>
  <w:style w:type="paragraph" w:styleId="4">
    <w:name w:val="Plain Text"/>
    <w:basedOn w:val="1"/>
    <w:qFormat/>
    <w:uiPriority w:val="0"/>
    <w:rPr>
      <w:rFonts w:ascii="宋体" w:hAnsi="Courier New"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Hyperlink"/>
    <w:basedOn w:val="8"/>
    <w:uiPriority w:val="0"/>
    <w:rPr>
      <w:color w:val="0000FF"/>
      <w:u w:val="single"/>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13">
    <w:name w:val="一级条标题"/>
    <w:next w:val="12"/>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标准文件_段"/>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15">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6">
    <w:name w:val="二级条标题"/>
    <w:basedOn w:val="13"/>
    <w:next w:val="12"/>
    <w:qFormat/>
    <w:uiPriority w:val="0"/>
    <w:pPr>
      <w:numPr>
        <w:ilvl w:val="2"/>
      </w:numPr>
      <w:spacing w:before="50" w:after="50"/>
      <w:outlineLvl w:val="3"/>
    </w:pPr>
  </w:style>
  <w:style w:type="paragraph" w:customStyle="1" w:styleId="17">
    <w:name w:val="章标题"/>
    <w:next w:val="1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8">
    <w:name w:val="名称"/>
    <w:basedOn w:val="19"/>
    <w:next w:val="12"/>
    <w:qFormat/>
    <w:uiPriority w:val="0"/>
    <w:pPr>
      <w:spacing w:line="460" w:lineRule="exact"/>
      <w:outlineLvl w:val="9"/>
    </w:pPr>
  </w:style>
  <w:style w:type="paragraph" w:customStyle="1" w:styleId="1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0">
    <w:name w:val="二级无标题条"/>
    <w:basedOn w:val="16"/>
    <w:qFormat/>
    <w:uiPriority w:val="0"/>
    <w:pPr>
      <w:spacing w:before="0" w:beforeLines="0" w:after="0" w:afterLines="0"/>
      <w:ind w:left="0"/>
      <w:outlineLvl w:val="9"/>
    </w:pPr>
    <w:rPr>
      <w:rFonts w:eastAsia="宋体"/>
    </w:rPr>
  </w:style>
  <w:style w:type="paragraph" w:customStyle="1" w:styleId="21">
    <w:name w:val="正文表标题"/>
    <w:next w:val="12"/>
    <w:qFormat/>
    <w:uiPriority w:val="0"/>
    <w:pPr>
      <w:numPr>
        <w:ilvl w:val="1"/>
        <w:numId w:val="3"/>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22">
    <w:name w:val="正文图标题"/>
    <w:basedOn w:val="21"/>
    <w:next w:val="12"/>
    <w:qFormat/>
    <w:uiPriority w:val="0"/>
    <w:pPr>
      <w:numPr>
        <w:ilvl w:val="0"/>
        <w:numId w:val="4"/>
      </w:numPr>
      <w:tabs>
        <w:tab w:val="clear" w:pos="360"/>
      </w:tabs>
    </w:pPr>
  </w:style>
  <w:style w:type="paragraph" w:customStyle="1" w:styleId="23">
    <w:name w:val="公式编号制表符"/>
    <w:basedOn w:val="1"/>
    <w:next w:val="1"/>
    <w:qFormat/>
    <w:uiPriority w:val="0"/>
    <w:pPr>
      <w:tabs>
        <w:tab w:val="center" w:pos="4679"/>
        <w:tab w:val="right" w:leader="dot" w:pos="9299"/>
      </w:tabs>
      <w:autoSpaceDE w:val="0"/>
      <w:autoSpaceDN w:val="0"/>
      <w:textAlignment w:val="center"/>
    </w:pPr>
    <w:rPr>
      <w:rFonts w:ascii="宋体"/>
      <w:szCs w:val="20"/>
    </w:rPr>
  </w:style>
  <w:style w:type="paragraph" w:customStyle="1" w:styleId="24">
    <w:name w:val="注×："/>
    <w:qFormat/>
    <w:uiPriority w:val="0"/>
    <w:pPr>
      <w:widowControl w:val="0"/>
      <w:numPr>
        <w:ilvl w:val="0"/>
        <w:numId w:val="5"/>
      </w:numPr>
      <w:autoSpaceDE w:val="0"/>
      <w:autoSpaceDN w:val="0"/>
      <w:ind w:left="811"/>
      <w:jc w:val="both"/>
    </w:pPr>
    <w:rPr>
      <w:rFonts w:ascii="黑体" w:hAnsi="Times New Roman" w:eastAsia="宋体" w:cs="Times New Roman"/>
      <w:sz w:val="18"/>
      <w:szCs w:val="18"/>
      <w:lang w:val="en-US" w:eastAsia="zh-CN" w:bidi="ar-SA"/>
    </w:rPr>
  </w:style>
  <w:style w:type="paragraph" w:customStyle="1" w:styleId="25">
    <w:name w:val="注："/>
    <w:next w:val="1"/>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emf"/><Relationship Id="rId7" Type="http://schemas.openxmlformats.org/officeDocument/2006/relationships/oleObject" Target="embeddings/oleObject2.bin"/><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emf"/><Relationship Id="rId17" Type="http://schemas.openxmlformats.org/officeDocument/2006/relationships/oleObject" Target="embeddings/oleObject7.bin"/><Relationship Id="rId16" Type="http://schemas.openxmlformats.org/officeDocument/2006/relationships/image" Target="media/image7.emf"/><Relationship Id="rId15" Type="http://schemas.openxmlformats.org/officeDocument/2006/relationships/oleObject" Target="embeddings/oleObject6.bin"/><Relationship Id="rId14" Type="http://schemas.openxmlformats.org/officeDocument/2006/relationships/image" Target="media/image6.emf"/><Relationship Id="rId13" Type="http://schemas.openxmlformats.org/officeDocument/2006/relationships/oleObject" Target="embeddings/oleObject5.bin"/><Relationship Id="rId12" Type="http://schemas.openxmlformats.org/officeDocument/2006/relationships/image" Target="media/image5.emf"/><Relationship Id="rId11" Type="http://schemas.openxmlformats.org/officeDocument/2006/relationships/oleObject" Target="embeddings/oleObject4.bin"/><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wgj</dc:creator>
  <cp:lastModifiedBy>lihai</cp:lastModifiedBy>
  <cp:lastPrinted>2021-06-08T02:12:32Z</cp:lastPrinted>
  <dcterms:modified xsi:type="dcterms:W3CDTF">2021-06-11T01:48:00Z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